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Style w:val="TitleChar"/>
        </w:rPr>
        <w:alias w:val="Title"/>
        <w:tag w:val="Title"/>
        <w:id w:val="-509987125"/>
        <w:lock w:val="sdtLocked"/>
        <w:placeholder>
          <w:docPart w:val="259367E128EA4DE8A9F32A67213926D2"/>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p w14:paraId="372B54CE" w14:textId="428603FF" w:rsidR="00886C9D" w:rsidRPr="00886C9D" w:rsidRDefault="008C41D4" w:rsidP="00886C9D">
          <w:pPr>
            <w:pStyle w:val="Title"/>
          </w:pPr>
          <w:r>
            <w:rPr>
              <w:rStyle w:val="TitleChar"/>
            </w:rPr>
            <w:t>Reform directions to improve economic regulation of water and sewerage services</w:t>
          </w:r>
        </w:p>
      </w:sdtContent>
    </w:sdt>
    <w:p w14:paraId="5F3873F2" w14:textId="7D78E9E8" w:rsidR="00FA14B3" w:rsidRDefault="00FA14B3" w:rsidP="00E757FF">
      <w:pPr>
        <w:pStyle w:val="Subtitle0"/>
      </w:pPr>
      <w:r>
        <w:t>Summary paper</w:t>
      </w:r>
    </w:p>
    <w:p w14:paraId="01A99E60" w14:textId="7D08FFBF" w:rsidR="00304B3C" w:rsidRPr="00304B3C" w:rsidRDefault="00304B3C" w:rsidP="00304B3C">
      <w:pPr>
        <w:sectPr w:rsidR="00304B3C" w:rsidRPr="00304B3C" w:rsidSect="00702D61">
          <w:headerReference w:type="even" r:id="rId9"/>
          <w:headerReference w:type="default" r:id="rId10"/>
          <w:headerReference w:type="first" r:id="rId11"/>
          <w:footerReference w:type="first" r:id="rId12"/>
          <w:pgSz w:w="11906" w:h="16838" w:code="9"/>
          <w:pgMar w:top="794" w:right="794" w:bottom="794" w:left="794" w:header="794" w:footer="794" w:gutter="0"/>
          <w:cols w:space="708"/>
          <w:titlePg/>
          <w:docGrid w:linePitch="360"/>
        </w:sectPr>
      </w:pPr>
    </w:p>
    <w:p w14:paraId="632D832B" w14:textId="71A5F306" w:rsidR="00CA7486" w:rsidRPr="00FA0C42" w:rsidRDefault="00CA7486">
      <w:pPr>
        <w:pStyle w:val="Heading4"/>
        <w:numPr>
          <w:ilvl w:val="0"/>
          <w:numId w:val="0"/>
        </w:numPr>
      </w:pPr>
      <w:r w:rsidRPr="00740C8C">
        <w:lastRenderedPageBreak/>
        <w:t xml:space="preserve">The </w:t>
      </w:r>
      <w:r>
        <w:t xml:space="preserve">Northern </w:t>
      </w:r>
      <w:r w:rsidRPr="00740C8C">
        <w:t xml:space="preserve">Territory Government </w:t>
      </w:r>
      <w:r w:rsidR="00DB7EB7">
        <w:t>commits to improving</w:t>
      </w:r>
      <w:r w:rsidRPr="00740C8C">
        <w:t xml:space="preserve"> economic regulation of water supply and sewerage services in the </w:t>
      </w:r>
      <w:r w:rsidR="00DB7EB7">
        <w:t xml:space="preserve">Northern Territory to meet the </w:t>
      </w:r>
      <w:r w:rsidR="00613595">
        <w:t>long-</w:t>
      </w:r>
      <w:r w:rsidR="00DB7EB7">
        <w:t xml:space="preserve">term interests of customers and the community. </w:t>
      </w:r>
    </w:p>
    <w:p w14:paraId="333D4806" w14:textId="78DA1AF8" w:rsidR="00CA7486" w:rsidRDefault="00DB7EB7">
      <w:r>
        <w:t xml:space="preserve">This paper provides a summary of Territory Government reform directions to improve economic regulation of water supply and sewerage services. </w:t>
      </w:r>
      <w:r w:rsidR="007711DB">
        <w:t xml:space="preserve">It complements the detailed </w:t>
      </w:r>
      <w:r w:rsidR="007711DB" w:rsidRPr="007711DB">
        <w:rPr>
          <w:i/>
        </w:rPr>
        <w:t>Reform Directions to improve economic regulation of water and sewerage services</w:t>
      </w:r>
      <w:r w:rsidR="007711DB">
        <w:t xml:space="preserve"> paper (Reform Directions Paper). </w:t>
      </w:r>
    </w:p>
    <w:p w14:paraId="3C884B68" w14:textId="69A400BD" w:rsidR="00381712" w:rsidRPr="001329ED" w:rsidRDefault="00381712" w:rsidP="00F17321">
      <w:pPr>
        <w:spacing w:before="200"/>
        <w:rPr>
          <w:lang w:eastAsia="en-AU"/>
        </w:rPr>
      </w:pPr>
      <w:r w:rsidRPr="00C25362">
        <w:rPr>
          <w:rFonts w:cs="Lato Light"/>
          <w:color w:val="000000"/>
        </w:rPr>
        <w:t>Territorians who directly source groundwater using a</w:t>
      </w:r>
      <w:r w:rsidR="00406EE5">
        <w:rPr>
          <w:rFonts w:cs="Lato Light"/>
          <w:color w:val="000000"/>
        </w:rPr>
        <w:t xml:space="preserve"> private bore or surface water </w:t>
      </w:r>
      <w:r w:rsidRPr="00C25362">
        <w:rPr>
          <w:rFonts w:cs="Lato Light"/>
          <w:color w:val="000000"/>
        </w:rPr>
        <w:t xml:space="preserve">and do not receive water supply and sewerage services from a service provider will not be affected by these reforms. </w:t>
      </w:r>
    </w:p>
    <w:p w14:paraId="5100E206" w14:textId="77777777" w:rsidR="00CA7486" w:rsidRDefault="00CA7486" w:rsidP="00F17321">
      <w:pPr>
        <w:pStyle w:val="Heading1"/>
        <w:numPr>
          <w:ilvl w:val="0"/>
          <w:numId w:val="0"/>
        </w:numPr>
        <w:ind w:left="432" w:hanging="432"/>
      </w:pPr>
      <w:r>
        <w:t>Why is economic regulation needed?</w:t>
      </w:r>
    </w:p>
    <w:p w14:paraId="29EBE3D6" w14:textId="6C24292F" w:rsidR="00CA7486" w:rsidRDefault="00CA7486">
      <w:pPr>
        <w:pStyle w:val="BodyText"/>
        <w:rPr>
          <w:lang w:eastAsia="en-AU"/>
        </w:rPr>
      </w:pPr>
      <w:r w:rsidRPr="00AC6575">
        <w:rPr>
          <w:lang w:eastAsia="en-AU"/>
        </w:rPr>
        <w:t xml:space="preserve">The </w:t>
      </w:r>
      <w:r>
        <w:rPr>
          <w:lang w:eastAsia="en-AU"/>
        </w:rPr>
        <w:t xml:space="preserve">supply of </w:t>
      </w:r>
      <w:r w:rsidRPr="00AC6575">
        <w:rPr>
          <w:lang w:eastAsia="en-AU"/>
        </w:rPr>
        <w:t xml:space="preserve">water and sewerage </w:t>
      </w:r>
      <w:r w:rsidR="00263A76">
        <w:rPr>
          <w:lang w:eastAsia="en-AU"/>
        </w:rPr>
        <w:t xml:space="preserve">services </w:t>
      </w:r>
      <w:r>
        <w:rPr>
          <w:lang w:eastAsia="en-AU"/>
        </w:rPr>
        <w:t xml:space="preserve">is essential to Territorians who </w:t>
      </w:r>
      <w:r w:rsidRPr="00AC6575">
        <w:rPr>
          <w:lang w:eastAsia="en-AU"/>
        </w:rPr>
        <w:t>expect affordable, reliable and safe services</w:t>
      </w:r>
      <w:r>
        <w:rPr>
          <w:lang w:eastAsia="en-AU"/>
        </w:rPr>
        <w:t>. Water supply and sewerage services also enable business activity and ec</w:t>
      </w:r>
      <w:r w:rsidR="000F1A7F">
        <w:rPr>
          <w:lang w:eastAsia="en-AU"/>
        </w:rPr>
        <w:t>onomic development, and support</w:t>
      </w:r>
      <w:r>
        <w:rPr>
          <w:lang w:eastAsia="en-AU"/>
        </w:rPr>
        <w:t xml:space="preserve"> amenity and </w:t>
      </w:r>
      <w:r w:rsidR="009044CD">
        <w:rPr>
          <w:lang w:eastAsia="en-AU"/>
        </w:rPr>
        <w:t xml:space="preserve">liveability </w:t>
      </w:r>
      <w:r>
        <w:rPr>
          <w:lang w:eastAsia="en-AU"/>
        </w:rPr>
        <w:t xml:space="preserve">of our communities. </w:t>
      </w:r>
    </w:p>
    <w:p w14:paraId="5990528C" w14:textId="6AEF06FE" w:rsidR="00CA7486" w:rsidRDefault="00CA7486">
      <w:r>
        <w:t xml:space="preserve">Customers do not have a choice about who provides their water supply and sewerage services. Service providers are monopoly businesses </w:t>
      </w:r>
      <w:r w:rsidR="009044CD">
        <w:t xml:space="preserve">that </w:t>
      </w:r>
      <w:r>
        <w:t>do not compete with each other to provide the highest quality and least</w:t>
      </w:r>
      <w:r w:rsidR="00CB3D3A">
        <w:t>-</w:t>
      </w:r>
      <w:r>
        <w:t xml:space="preserve">cost services to customers. The purpose of economic regulation is to place rules on service providers to ensure they provide customers with safe, reliable and affordable services. </w:t>
      </w:r>
    </w:p>
    <w:p w14:paraId="10BB9B7B" w14:textId="77777777" w:rsidR="00CA7486" w:rsidRPr="001329ED" w:rsidRDefault="00CA7486">
      <w:pPr>
        <w:spacing w:after="60"/>
        <w:rPr>
          <w:bCs/>
          <w:iCs/>
        </w:rPr>
      </w:pPr>
      <w:r w:rsidRPr="001329ED">
        <w:rPr>
          <w:bCs/>
          <w:iCs/>
        </w:rPr>
        <w:t>An economic regulatory framework</w:t>
      </w:r>
      <w:r>
        <w:rPr>
          <w:bCs/>
          <w:iCs/>
        </w:rPr>
        <w:t xml:space="preserve"> for water supply and sewerage services</w:t>
      </w:r>
      <w:r w:rsidRPr="001329ED">
        <w:rPr>
          <w:bCs/>
          <w:iCs/>
        </w:rPr>
        <w:t xml:space="preserve"> should:</w:t>
      </w:r>
    </w:p>
    <w:p w14:paraId="08487044" w14:textId="77777777" w:rsidR="00CA7486" w:rsidRPr="001329ED" w:rsidRDefault="00CA7486">
      <w:pPr>
        <w:numPr>
          <w:ilvl w:val="0"/>
          <w:numId w:val="13"/>
        </w:numPr>
        <w:spacing w:after="60"/>
        <w:rPr>
          <w:bCs/>
          <w:iCs/>
        </w:rPr>
      </w:pPr>
      <w:r w:rsidRPr="001329ED">
        <w:rPr>
          <w:bCs/>
          <w:iCs/>
        </w:rPr>
        <w:t>serve the long-term and evolving interests of customers and communities</w:t>
      </w:r>
    </w:p>
    <w:p w14:paraId="5E07851E" w14:textId="77777777" w:rsidR="00CA7486" w:rsidRPr="001329ED" w:rsidRDefault="00CA7486">
      <w:pPr>
        <w:numPr>
          <w:ilvl w:val="0"/>
          <w:numId w:val="13"/>
        </w:numPr>
        <w:spacing w:after="60"/>
        <w:rPr>
          <w:bCs/>
          <w:iCs/>
        </w:rPr>
      </w:pPr>
      <w:r w:rsidRPr="001329ED">
        <w:rPr>
          <w:bCs/>
          <w:iCs/>
        </w:rPr>
        <w:t xml:space="preserve">ensure efficiency and affordability of services </w:t>
      </w:r>
    </w:p>
    <w:p w14:paraId="618AB460" w14:textId="77777777" w:rsidR="00CA7486" w:rsidRPr="001329ED" w:rsidRDefault="00CA7486">
      <w:pPr>
        <w:numPr>
          <w:ilvl w:val="0"/>
          <w:numId w:val="13"/>
        </w:numPr>
        <w:spacing w:after="60"/>
        <w:rPr>
          <w:bCs/>
          <w:iCs/>
        </w:rPr>
      </w:pPr>
      <w:r w:rsidRPr="001329ED">
        <w:rPr>
          <w:bCs/>
          <w:iCs/>
        </w:rPr>
        <w:t>drive independence, transparency and accountability in decision-making</w:t>
      </w:r>
    </w:p>
    <w:p w14:paraId="2136B6F8" w14:textId="77777777" w:rsidR="00CA7486" w:rsidRPr="001329ED" w:rsidRDefault="00CA7486">
      <w:pPr>
        <w:numPr>
          <w:ilvl w:val="0"/>
          <w:numId w:val="13"/>
        </w:numPr>
        <w:spacing w:after="60"/>
        <w:rPr>
          <w:bCs/>
          <w:iCs/>
        </w:rPr>
      </w:pPr>
      <w:r w:rsidRPr="001329ED">
        <w:rPr>
          <w:bCs/>
          <w:iCs/>
        </w:rPr>
        <w:t>ensure security and resilience of urban water services</w:t>
      </w:r>
    </w:p>
    <w:p w14:paraId="4B1617BE" w14:textId="77777777" w:rsidR="00CA7486" w:rsidRPr="007D1C44" w:rsidRDefault="00CA7486">
      <w:pPr>
        <w:numPr>
          <w:ilvl w:val="0"/>
          <w:numId w:val="13"/>
        </w:numPr>
        <w:rPr>
          <w:iCs/>
        </w:rPr>
      </w:pPr>
      <w:r w:rsidRPr="001329ED">
        <w:rPr>
          <w:bCs/>
          <w:iCs/>
        </w:rPr>
        <w:t>contribute efficiently and appropriately to liveability, economic, environmental and health outcomes.</w:t>
      </w:r>
      <w:r w:rsidRPr="001329ED">
        <w:rPr>
          <w:bCs/>
          <w:i/>
          <w:iCs/>
        </w:rPr>
        <w:t xml:space="preserve"> </w:t>
      </w:r>
    </w:p>
    <w:p w14:paraId="2999B116" w14:textId="77777777" w:rsidR="00CA7486" w:rsidRPr="004B2017" w:rsidRDefault="00CA7486" w:rsidP="00D932A8">
      <w:pPr>
        <w:pStyle w:val="Heading2"/>
      </w:pPr>
      <w:r w:rsidRPr="004B2017">
        <w:t>How are water and sewerage services currently delivered?</w:t>
      </w:r>
    </w:p>
    <w:p w14:paraId="082B6366" w14:textId="77777777" w:rsidR="00CA7486" w:rsidRPr="001329ED" w:rsidRDefault="00CA7486">
      <w:pPr>
        <w:spacing w:after="120"/>
      </w:pPr>
      <w:r w:rsidRPr="001329ED">
        <w:t xml:space="preserve">Service providers </w:t>
      </w:r>
      <w:r>
        <w:t xml:space="preserve">(also known as utilities) </w:t>
      </w:r>
      <w:r w:rsidRPr="001329ED">
        <w:t xml:space="preserve">are generally responsible for: </w:t>
      </w:r>
    </w:p>
    <w:p w14:paraId="039101B2" w14:textId="7BB3EC81" w:rsidR="00CA7486" w:rsidRPr="001329ED" w:rsidRDefault="00CA7486">
      <w:pPr>
        <w:pStyle w:val="ListBullet"/>
        <w:numPr>
          <w:ilvl w:val="0"/>
          <w:numId w:val="12"/>
        </w:numPr>
      </w:pPr>
      <w:r w:rsidRPr="001329ED">
        <w:t>supply</w:t>
      </w:r>
      <w:r>
        <w:t>ing</w:t>
      </w:r>
      <w:r w:rsidRPr="001329ED">
        <w:t xml:space="preserve"> water from sources such as dams or groundwater</w:t>
      </w:r>
      <w:r>
        <w:t xml:space="preserve"> as well as </w:t>
      </w:r>
      <w:r w:rsidRPr="001329ED">
        <w:t>treat</w:t>
      </w:r>
      <w:r>
        <w:t>ing</w:t>
      </w:r>
      <w:r w:rsidRPr="001329ED">
        <w:t xml:space="preserve"> and deliver</w:t>
      </w:r>
      <w:r>
        <w:t>ing</w:t>
      </w:r>
      <w:r w:rsidRPr="001329ED">
        <w:t xml:space="preserve"> </w:t>
      </w:r>
      <w:r w:rsidR="00D914A6">
        <w:t xml:space="preserve">water </w:t>
      </w:r>
      <w:r w:rsidRPr="001329ED">
        <w:t>through pipes and reticulated distribution networks to customers</w:t>
      </w:r>
    </w:p>
    <w:p w14:paraId="6CFAC1A2" w14:textId="77777777" w:rsidR="00CA7486" w:rsidRDefault="00CA7486">
      <w:pPr>
        <w:pStyle w:val="ListBullet"/>
        <w:numPr>
          <w:ilvl w:val="0"/>
          <w:numId w:val="12"/>
        </w:numPr>
      </w:pPr>
      <w:r w:rsidRPr="001329ED">
        <w:t>remov</w:t>
      </w:r>
      <w:r>
        <w:t>ing</w:t>
      </w:r>
      <w:r w:rsidRPr="001329ED">
        <w:t xml:space="preserve"> and </w:t>
      </w:r>
      <w:r>
        <w:t>treating</w:t>
      </w:r>
      <w:r w:rsidRPr="001329ED">
        <w:t xml:space="preserve"> wastewater (sewerage)</w:t>
      </w:r>
    </w:p>
    <w:p w14:paraId="6AE357FD" w14:textId="77777777" w:rsidR="00CA7486" w:rsidRDefault="00CA7486">
      <w:pPr>
        <w:pStyle w:val="ListBullet"/>
        <w:numPr>
          <w:ilvl w:val="0"/>
          <w:numId w:val="12"/>
        </w:numPr>
      </w:pPr>
      <w:r w:rsidRPr="001329ED">
        <w:t>retailing (billing) of these water supply and sewerage services.</w:t>
      </w:r>
    </w:p>
    <w:p w14:paraId="2EB373BB" w14:textId="6DEF3F5E" w:rsidR="004B2017" w:rsidRDefault="00263A76">
      <w:r>
        <w:t>In the Territory t</w:t>
      </w:r>
      <w:r w:rsidR="000F1A7F">
        <w:t>here is only one licens</w:t>
      </w:r>
      <w:r w:rsidR="00CA7486">
        <w:t xml:space="preserve">ed and regulated service provider, the Power and Water Corporation (PWC). It supplies water and sewerage services to licence areas of </w:t>
      </w:r>
      <w:r w:rsidR="00CA7486" w:rsidRPr="001329ED">
        <w:t xml:space="preserve">Greater Darwin, </w:t>
      </w:r>
      <w:r w:rsidR="005314DB" w:rsidRPr="001329ED">
        <w:t>Alice</w:t>
      </w:r>
      <w:r w:rsidR="005314DB">
        <w:t> </w:t>
      </w:r>
      <w:r w:rsidR="00CA7486" w:rsidRPr="001329ED">
        <w:t>Springs, Tennant Creek, Yulara a</w:t>
      </w:r>
      <w:r w:rsidR="00CA7486">
        <w:t xml:space="preserve">nd </w:t>
      </w:r>
      <w:r w:rsidR="005314DB">
        <w:t xml:space="preserve">12 </w:t>
      </w:r>
      <w:r w:rsidR="00CA7486">
        <w:t xml:space="preserve">minor urban centres. </w:t>
      </w:r>
    </w:p>
    <w:p w14:paraId="356B9949" w14:textId="3C999ED1" w:rsidR="00CA7486" w:rsidRDefault="008E3DE3">
      <w:r>
        <w:t>In towns and communities outside these licence areas</w:t>
      </w:r>
      <w:r w:rsidR="005314DB">
        <w:t>,</w:t>
      </w:r>
      <w:r>
        <w:t xml:space="preserve"> </w:t>
      </w:r>
      <w:r w:rsidR="004B2017">
        <w:t xml:space="preserve">customers do not receive the same protections afforded by economic regulation because service providers are not regulated. </w:t>
      </w:r>
    </w:p>
    <w:p w14:paraId="7C792CA2" w14:textId="4329A2AC" w:rsidR="0013033D" w:rsidRPr="001329ED" w:rsidRDefault="00CA7486" w:rsidP="00F17321">
      <w:pPr>
        <w:pStyle w:val="Heading1"/>
        <w:numPr>
          <w:ilvl w:val="0"/>
          <w:numId w:val="0"/>
        </w:numPr>
        <w:spacing w:before="0"/>
        <w:ind w:left="432" w:hanging="432"/>
      </w:pPr>
      <w:r>
        <w:br w:type="page"/>
      </w:r>
      <w:r w:rsidR="00374DC7">
        <w:lastRenderedPageBreak/>
        <w:t>Snapshot of reform direction</w:t>
      </w:r>
      <w:r w:rsidR="009C4F61">
        <w:t xml:space="preserve"> </w:t>
      </w:r>
    </w:p>
    <w:p w14:paraId="1F252009" w14:textId="34E564DD" w:rsidR="00A45810" w:rsidRPr="00CC4B0F" w:rsidRDefault="00A45810" w:rsidP="00F17321">
      <w:pPr>
        <w:spacing w:before="120"/>
      </w:pPr>
      <w:r>
        <w:t xml:space="preserve">The Territory </w:t>
      </w:r>
      <w:r w:rsidRPr="00CC4B0F">
        <w:t xml:space="preserve">Government will enhance the </w:t>
      </w:r>
      <w:r>
        <w:t xml:space="preserve">economic regulatory framework for </w:t>
      </w:r>
      <w:r w:rsidRPr="00CC4B0F">
        <w:t xml:space="preserve">water supply and sewerage services by: </w:t>
      </w:r>
    </w:p>
    <w:p w14:paraId="0C872994" w14:textId="77777777" w:rsidR="00A45810" w:rsidRDefault="00A45810" w:rsidP="00F17321">
      <w:pPr>
        <w:pStyle w:val="ListParagraph"/>
        <w:numPr>
          <w:ilvl w:val="0"/>
          <w:numId w:val="17"/>
        </w:numPr>
        <w:spacing w:before="120"/>
        <w:ind w:left="460"/>
      </w:pPr>
      <w:r>
        <w:t xml:space="preserve">expanding the coverage of the economic regulatory framework to service providers across the Territory </w:t>
      </w:r>
    </w:p>
    <w:p w14:paraId="4A4256F2" w14:textId="1865980F" w:rsidR="00A45810" w:rsidRDefault="00A45810" w:rsidP="00F17321">
      <w:pPr>
        <w:pStyle w:val="ListParagraph"/>
        <w:numPr>
          <w:ilvl w:val="0"/>
          <w:numId w:val="17"/>
        </w:numPr>
        <w:spacing w:before="120"/>
        <w:ind w:left="460"/>
      </w:pPr>
      <w:r>
        <w:t xml:space="preserve">applying a consistent, </w:t>
      </w:r>
      <w:proofErr w:type="gramStart"/>
      <w:r>
        <w:t>transparent</w:t>
      </w:r>
      <w:proofErr w:type="gramEnd"/>
      <w:r>
        <w:t xml:space="preserve"> and tiered methodology to determine the form and level of regulation appropriate for service providers and their service areas across the Territory.</w:t>
      </w:r>
    </w:p>
    <w:p w14:paraId="30C01A20" w14:textId="65EED371" w:rsidR="00147716" w:rsidRPr="00147716" w:rsidRDefault="00A45810" w:rsidP="008C41D4">
      <w:pPr>
        <w:pStyle w:val="Heading2"/>
      </w:pPr>
      <w:r>
        <w:t xml:space="preserve">How will the </w:t>
      </w:r>
      <w:r w:rsidRPr="00D932A8">
        <w:t>reform</w:t>
      </w:r>
      <w:r>
        <w:t xml:space="preserve"> direction improve outcomes for customers?</w:t>
      </w:r>
    </w:p>
    <w:p w14:paraId="036D3230" w14:textId="2E9ED8D7" w:rsidR="00670CDB" w:rsidRDefault="00670CDB" w:rsidP="00F17321">
      <w:r>
        <w:t>The reform direction will</w:t>
      </w:r>
      <w:r w:rsidR="003C44F2">
        <w:t xml:space="preserve"> ensure that </w:t>
      </w:r>
      <w:r w:rsidR="0013033D">
        <w:t>customers</w:t>
      </w:r>
      <w:r w:rsidR="00212456">
        <w:t xml:space="preserve"> across the Territory </w:t>
      </w:r>
      <w:r>
        <w:t xml:space="preserve">receive the benefits of economic regulation. </w:t>
      </w:r>
      <w:r w:rsidR="00147716">
        <w:t>C</w:t>
      </w:r>
      <w:r w:rsidR="0013033D" w:rsidRPr="00B8521E">
        <w:t xml:space="preserve">ustomers in similarly </w:t>
      </w:r>
      <w:r w:rsidR="00212456">
        <w:t xml:space="preserve">sized towns and communities will be afforded </w:t>
      </w:r>
      <w:r w:rsidR="0013033D" w:rsidRPr="00B8521E">
        <w:t xml:space="preserve">similar levels of </w:t>
      </w:r>
      <w:r w:rsidR="0013033D">
        <w:t>customer protections and rights and transparency of service provision</w:t>
      </w:r>
      <w:r w:rsidR="0013033D" w:rsidRPr="00984CC4">
        <w:t>, regardless of who their service provider is.</w:t>
      </w:r>
      <w:r w:rsidR="00C654E0">
        <w:t xml:space="preserve"> </w:t>
      </w:r>
    </w:p>
    <w:p w14:paraId="3B87AB26" w14:textId="28442F32" w:rsidR="003C44F2" w:rsidRDefault="003C44F2" w:rsidP="00F17321">
      <w:r>
        <w:t xml:space="preserve">The diagram below provides a summary of how the reforms will benefit customers across the Territory. </w:t>
      </w:r>
    </w:p>
    <w:p w14:paraId="12926056" w14:textId="3A0F7F27" w:rsidR="00147716" w:rsidRDefault="005314DB" w:rsidP="008C41D4">
      <w:pPr>
        <w:pStyle w:val="Heading3"/>
      </w:pPr>
      <w:r>
        <w:rPr>
          <w:noProof/>
          <w:lang w:eastAsia="en-AU"/>
        </w:rPr>
        <w:drawing>
          <wp:anchor distT="0" distB="0" distL="114300" distR="114300" simplePos="0" relativeHeight="251658240" behindDoc="0" locked="0" layoutInCell="1" allowOverlap="1" wp14:anchorId="05323540" wp14:editId="6C567B33">
            <wp:simplePos x="0" y="0"/>
            <wp:positionH relativeFrom="margin">
              <wp:align>left</wp:align>
            </wp:positionH>
            <wp:positionV relativeFrom="paragraph">
              <wp:posOffset>328142</wp:posOffset>
            </wp:positionV>
            <wp:extent cx="6285230" cy="512826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5809" cy="5128765"/>
                    </a:xfrm>
                    <a:prstGeom prst="rect">
                      <a:avLst/>
                    </a:prstGeom>
                  </pic:spPr>
                </pic:pic>
              </a:graphicData>
            </a:graphic>
          </wp:anchor>
        </w:drawing>
      </w:r>
      <w:r w:rsidR="00147716" w:rsidRPr="00147716">
        <w:t>C</w:t>
      </w:r>
      <w:r w:rsidR="00947AD3">
        <w:t xml:space="preserve">ustomers across the </w:t>
      </w:r>
      <w:r w:rsidR="00147716" w:rsidRPr="00147716">
        <w:t>Territory will benefit from improved economic regulation</w:t>
      </w:r>
    </w:p>
    <w:p w14:paraId="7EE0A678" w14:textId="77777777" w:rsidR="005314DB" w:rsidRDefault="005314DB">
      <w:pPr>
        <w:rPr>
          <w:rFonts w:asciiTheme="majorHAnsi" w:eastAsiaTheme="majorEastAsia" w:hAnsiTheme="majorHAnsi" w:cstheme="majorBidi"/>
          <w:bCs/>
          <w:iCs/>
          <w:color w:val="454347"/>
          <w:sz w:val="32"/>
          <w:szCs w:val="32"/>
        </w:rPr>
      </w:pPr>
      <w:r>
        <w:rPr>
          <w:rFonts w:asciiTheme="majorHAnsi" w:eastAsiaTheme="majorEastAsia" w:hAnsiTheme="majorHAnsi" w:cstheme="majorBidi"/>
          <w:bCs/>
          <w:iCs/>
          <w:color w:val="454347"/>
          <w:sz w:val="32"/>
          <w:szCs w:val="32"/>
        </w:rPr>
        <w:br w:type="page"/>
      </w:r>
    </w:p>
    <w:p w14:paraId="6679B9E0" w14:textId="0C2191BD" w:rsidR="00670CDB" w:rsidRDefault="00670CDB" w:rsidP="008C41D4">
      <w:pPr>
        <w:pStyle w:val="Heading2"/>
      </w:pPr>
      <w:r>
        <w:lastRenderedPageBreak/>
        <w:t>Consistent methodology to apply regulation across the Territory</w:t>
      </w:r>
    </w:p>
    <w:p w14:paraId="10CEC12D" w14:textId="32C91EB0" w:rsidR="005C2C0C" w:rsidRDefault="00784105" w:rsidP="00F17321">
      <w:pPr>
        <w:spacing w:before="200"/>
      </w:pPr>
      <w:r>
        <w:t xml:space="preserve">The </w:t>
      </w:r>
      <w:r w:rsidR="00FE2636">
        <w:t>high level framework and</w:t>
      </w:r>
      <w:r>
        <w:t xml:space="preserve"> methodology to apply fit-for-purpose economic r</w:t>
      </w:r>
      <w:r w:rsidR="00CE134E">
        <w:t>egulation across the Territory</w:t>
      </w:r>
      <w:r w:rsidR="00A8735E">
        <w:t xml:space="preserve"> recognises</w:t>
      </w:r>
      <w:r w:rsidR="00276290">
        <w:t xml:space="preserve"> the need to</w:t>
      </w:r>
      <w:r w:rsidR="00A45810">
        <w:t xml:space="preserve"> </w:t>
      </w:r>
      <w:r w:rsidR="00147716">
        <w:t xml:space="preserve">achieve </w:t>
      </w:r>
      <w:r w:rsidR="00A45810">
        <w:t xml:space="preserve">a level of consistency for </w:t>
      </w:r>
      <w:r w:rsidR="00147716">
        <w:t>custome</w:t>
      </w:r>
      <w:r w:rsidR="005C2C0C">
        <w:t xml:space="preserve">rs in </w:t>
      </w:r>
      <w:r w:rsidR="005314DB">
        <w:t>similar-</w:t>
      </w:r>
      <w:r w:rsidR="005C2C0C">
        <w:t>sized communities</w:t>
      </w:r>
      <w:r w:rsidR="00147716">
        <w:t xml:space="preserve"> </w:t>
      </w:r>
      <w:r w:rsidR="00FE6583">
        <w:t>as we</w:t>
      </w:r>
      <w:r w:rsidR="004014E9">
        <w:t>l</w:t>
      </w:r>
      <w:r w:rsidR="00FE6583">
        <w:t xml:space="preserve">l as </w:t>
      </w:r>
      <w:r w:rsidR="006A6B22">
        <w:t>balance the costs and benefits of regulation</w:t>
      </w:r>
      <w:r w:rsidR="00147716">
        <w:t xml:space="preserve">. </w:t>
      </w:r>
    </w:p>
    <w:p w14:paraId="14BD41E9" w14:textId="339A1F70" w:rsidR="00F82087" w:rsidRDefault="005C2C0C" w:rsidP="00F17321">
      <w:pPr>
        <w:spacing w:before="200"/>
      </w:pPr>
      <w:r>
        <w:t>Regulation will be</w:t>
      </w:r>
      <w:r w:rsidR="00FE47F5">
        <w:t xml:space="preserve"> tiered </w:t>
      </w:r>
      <w:r w:rsidR="00C50F78">
        <w:t>base</w:t>
      </w:r>
      <w:r w:rsidR="00406EE5">
        <w:t>d</w:t>
      </w:r>
      <w:r w:rsidR="00C50F78">
        <w:t xml:space="preserve"> on the</w:t>
      </w:r>
      <w:r w:rsidR="00276290">
        <w:t xml:space="preserve"> different scales of service delivery across the Territory. </w:t>
      </w:r>
      <w:r w:rsidR="00A8735E">
        <w:t>There will be</w:t>
      </w:r>
      <w:r w:rsidR="00FE2636" w:rsidRPr="00FE2636">
        <w:t xml:space="preserve"> two categories</w:t>
      </w:r>
      <w:r w:rsidR="00A8735E">
        <w:t xml:space="preserve"> of regulated service provider. Large service providers will be subject to full economic regulation and small service providers will be subject to light touch economic regulation. </w:t>
      </w:r>
    </w:p>
    <w:p w14:paraId="139EC8B1" w14:textId="60383F6B" w:rsidR="00144E22" w:rsidRDefault="00A8735E" w:rsidP="00784105">
      <w:pPr>
        <w:spacing w:before="200"/>
      </w:pPr>
      <w:r>
        <w:rPr>
          <w:noProof/>
          <w:lang w:eastAsia="en-AU"/>
        </w:rPr>
        <w:drawing>
          <wp:inline distT="0" distB="0" distL="0" distR="0" wp14:anchorId="68E5E122" wp14:editId="5BE04605">
            <wp:extent cx="6566566" cy="4643530"/>
            <wp:effectExtent l="0" t="0" r="571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566566" cy="4643530"/>
                    </a:xfrm>
                    <a:prstGeom prst="rect">
                      <a:avLst/>
                    </a:prstGeom>
                  </pic:spPr>
                </pic:pic>
              </a:graphicData>
            </a:graphic>
          </wp:inline>
        </w:drawing>
      </w:r>
    </w:p>
    <w:p w14:paraId="58CFBBB5" w14:textId="16A34F05" w:rsidR="003D6EDD" w:rsidRDefault="003D6EDD">
      <w:pPr>
        <w:pStyle w:val="Heading2"/>
      </w:pPr>
      <w:r>
        <w:t>Full economic regulation for large service providers</w:t>
      </w:r>
    </w:p>
    <w:p w14:paraId="1053215F" w14:textId="3A5EF1A2" w:rsidR="00FE2636" w:rsidRPr="00FE2636" w:rsidRDefault="00406EE5" w:rsidP="00F17321">
      <w:pPr>
        <w:spacing w:before="200"/>
      </w:pPr>
      <w:r>
        <w:t>A l</w:t>
      </w:r>
      <w:r w:rsidR="00FE2636" w:rsidRPr="00FE2636">
        <w:t>arge service</w:t>
      </w:r>
      <w:r>
        <w:t xml:space="preserve"> provider</w:t>
      </w:r>
      <w:r w:rsidR="00FE2636" w:rsidRPr="00FE2636">
        <w:t xml:space="preserve"> </w:t>
      </w:r>
      <w:r w:rsidR="00653E4B">
        <w:t xml:space="preserve">will be defined as </w:t>
      </w:r>
      <w:r>
        <w:t xml:space="preserve">a </w:t>
      </w:r>
      <w:r w:rsidR="00653E4B">
        <w:t>service provider with</w:t>
      </w:r>
      <w:r w:rsidR="00FE2636" w:rsidRPr="00FE2636">
        <w:t xml:space="preserve"> </w:t>
      </w:r>
      <w:r w:rsidR="00653E4B" w:rsidRPr="00A96F78">
        <w:t xml:space="preserve">more than </w:t>
      </w:r>
      <w:r w:rsidR="00A96F78" w:rsidRPr="00A96F78">
        <w:t xml:space="preserve">50,000 </w:t>
      </w:r>
      <w:r w:rsidR="00FE2636" w:rsidRPr="00A96F78">
        <w:t xml:space="preserve">service connections. </w:t>
      </w:r>
      <w:r w:rsidR="000F1A7F">
        <w:t xml:space="preserve">In the Territory, </w:t>
      </w:r>
      <w:r w:rsidR="00BD21DF" w:rsidRPr="00A96F78">
        <w:t>PWC</w:t>
      </w:r>
      <w:r w:rsidR="00FE2636" w:rsidRPr="00A96F78">
        <w:t xml:space="preserve"> is the only service provider</w:t>
      </w:r>
      <w:r w:rsidR="00BA4298">
        <w:t xml:space="preserve"> of this size</w:t>
      </w:r>
      <w:r w:rsidR="00FE2636" w:rsidRPr="00A96F78">
        <w:t>.</w:t>
      </w:r>
    </w:p>
    <w:p w14:paraId="1AB0E60B" w14:textId="1A7452D2" w:rsidR="001823C8" w:rsidRPr="00FE2636" w:rsidRDefault="00BA4298" w:rsidP="00F17321">
      <w:pPr>
        <w:spacing w:before="200"/>
      </w:pPr>
      <w:r>
        <w:t xml:space="preserve">Full economic regulation can be applied to a </w:t>
      </w:r>
      <w:r w:rsidR="001823C8" w:rsidRPr="00FE2636">
        <w:t>large service provider</w:t>
      </w:r>
      <w:r>
        <w:t xml:space="preserve"> as its</w:t>
      </w:r>
      <w:r w:rsidR="001823C8" w:rsidRPr="00FE2636">
        <w:t xml:space="preserve"> customer base </w:t>
      </w:r>
      <w:r>
        <w:t xml:space="preserve">is large enough for </w:t>
      </w:r>
      <w:r w:rsidR="004933F4">
        <w:t>the per</w:t>
      </w:r>
      <w:r w:rsidR="004933F4">
        <w:noBreakHyphen/>
      </w:r>
      <w:r w:rsidR="00CB3D3A" w:rsidRPr="00CB3D3A">
        <w:t xml:space="preserve">customer </w:t>
      </w:r>
      <w:r w:rsidR="00CB3D3A">
        <w:t xml:space="preserve">regulatory </w:t>
      </w:r>
      <w:r w:rsidR="00CB3D3A" w:rsidRPr="00CB3D3A">
        <w:t>costs to be manageable.</w:t>
      </w:r>
      <w:r w:rsidR="00CB3D3A">
        <w:t xml:space="preserve"> </w:t>
      </w:r>
      <w:r w:rsidR="00BD21DF">
        <w:t xml:space="preserve">This is </w:t>
      </w:r>
      <w:r w:rsidR="00FE2636" w:rsidRPr="00FE2636">
        <w:t xml:space="preserve">a proportionate approach </w:t>
      </w:r>
      <w:r w:rsidR="004A6789">
        <w:t>that will</w:t>
      </w:r>
      <w:r w:rsidR="00FE2636" w:rsidRPr="00FE2636">
        <w:t xml:space="preserve"> </w:t>
      </w:r>
      <w:r w:rsidR="001823C8" w:rsidRPr="00FE2636">
        <w:t xml:space="preserve">serve the </w:t>
      </w:r>
      <w:r w:rsidR="00866364" w:rsidRPr="00FE2636">
        <w:t>long</w:t>
      </w:r>
      <w:r w:rsidR="00866364">
        <w:t>-</w:t>
      </w:r>
      <w:r w:rsidR="001823C8" w:rsidRPr="00FE2636">
        <w:t xml:space="preserve">term interests of customers and the community. </w:t>
      </w:r>
    </w:p>
    <w:p w14:paraId="0F75FF14" w14:textId="67AC96C3" w:rsidR="001823C8" w:rsidRDefault="001823C8" w:rsidP="00F17321">
      <w:pPr>
        <w:spacing w:before="200"/>
      </w:pPr>
      <w:r w:rsidRPr="00FE2636">
        <w:t xml:space="preserve">Full economic regulation </w:t>
      </w:r>
      <w:r w:rsidR="00653E4B">
        <w:t>will</w:t>
      </w:r>
      <w:r w:rsidRPr="00FE2636">
        <w:t xml:space="preserve"> </w:t>
      </w:r>
      <w:r w:rsidR="00406EE5">
        <w:t xml:space="preserve">enhance customer protections, </w:t>
      </w:r>
      <w:r w:rsidRPr="00FE2636">
        <w:t xml:space="preserve">establish standards of service, </w:t>
      </w:r>
      <w:r w:rsidR="00205D25">
        <w:t xml:space="preserve">and improve transparency and accountability of a large service provider operating in accordance with good industry practice. </w:t>
      </w:r>
      <w:r w:rsidR="00B8521E">
        <w:t>The detailed Reform Direction</w:t>
      </w:r>
      <w:r w:rsidR="007711DB">
        <w:t>s</w:t>
      </w:r>
      <w:r w:rsidR="00B8521E">
        <w:t xml:space="preserve"> Paper includes </w:t>
      </w:r>
      <w:r w:rsidR="00653E4B">
        <w:t xml:space="preserve">five </w:t>
      </w:r>
      <w:r w:rsidR="00B8521E">
        <w:t xml:space="preserve">reform directions </w:t>
      </w:r>
      <w:r w:rsidR="00205D25">
        <w:t>on the key elements of</w:t>
      </w:r>
      <w:r w:rsidR="00B8521E">
        <w:t xml:space="preserve"> full economic regulation. </w:t>
      </w:r>
    </w:p>
    <w:p w14:paraId="71270179" w14:textId="6DEC3C4E" w:rsidR="003D6EDD" w:rsidRPr="003D6EDD" w:rsidRDefault="00653E4B" w:rsidP="00D932A8">
      <w:pPr>
        <w:pStyle w:val="Heading2"/>
      </w:pPr>
      <w:r>
        <w:lastRenderedPageBreak/>
        <w:t>L</w:t>
      </w:r>
      <w:r w:rsidR="003D6EDD">
        <w:t xml:space="preserve">ight touch </w:t>
      </w:r>
      <w:r w:rsidR="00A8735E">
        <w:t xml:space="preserve">economic </w:t>
      </w:r>
      <w:r w:rsidR="003D6EDD">
        <w:t>regulation for small service providers</w:t>
      </w:r>
    </w:p>
    <w:p w14:paraId="4DEEA65B" w14:textId="711FF7DE" w:rsidR="00653E4B" w:rsidRDefault="00406EE5" w:rsidP="00F17321">
      <w:pPr>
        <w:spacing w:before="200"/>
      </w:pPr>
      <w:r>
        <w:t>A s</w:t>
      </w:r>
      <w:r w:rsidR="00653E4B">
        <w:t xml:space="preserve">mall </w:t>
      </w:r>
      <w:r w:rsidR="00653E4B" w:rsidRPr="00FE2636">
        <w:t>service</w:t>
      </w:r>
      <w:r>
        <w:t xml:space="preserve"> provider</w:t>
      </w:r>
      <w:r w:rsidR="00653E4B" w:rsidRPr="00FE2636">
        <w:t xml:space="preserve"> </w:t>
      </w:r>
      <w:r w:rsidR="00653E4B">
        <w:t>will be defined as</w:t>
      </w:r>
      <w:r>
        <w:t xml:space="preserve"> a</w:t>
      </w:r>
      <w:r w:rsidR="00653E4B">
        <w:t xml:space="preserve"> service provider </w:t>
      </w:r>
      <w:r w:rsidR="00653E4B" w:rsidRPr="00A96F78">
        <w:t xml:space="preserve">with less than </w:t>
      </w:r>
      <w:r w:rsidR="00A96F78" w:rsidRPr="00A96F78">
        <w:t>50,000</w:t>
      </w:r>
      <w:r w:rsidR="00653E4B" w:rsidRPr="00A96F78">
        <w:t xml:space="preserve"> service connections. All service providers that operate in the Territory except PWC will be small service</w:t>
      </w:r>
      <w:r w:rsidR="00653E4B">
        <w:t xml:space="preserve"> providers. </w:t>
      </w:r>
    </w:p>
    <w:p w14:paraId="170B053E" w14:textId="3479E966" w:rsidR="00653E4B" w:rsidRDefault="001823C8" w:rsidP="00F17321">
      <w:pPr>
        <w:spacing w:before="200"/>
        <w:rPr>
          <w:lang w:eastAsia="en-AU"/>
        </w:rPr>
      </w:pPr>
      <w:r w:rsidRPr="00804B08">
        <w:rPr>
          <w:lang w:eastAsia="en-AU"/>
        </w:rPr>
        <w:t xml:space="preserve">Small service </w:t>
      </w:r>
      <w:r w:rsidR="00804B08" w:rsidRPr="00804B08">
        <w:rPr>
          <w:lang w:eastAsia="en-AU"/>
        </w:rPr>
        <w:t>providers</w:t>
      </w:r>
      <w:r w:rsidRPr="00804B08">
        <w:rPr>
          <w:lang w:eastAsia="en-AU"/>
        </w:rPr>
        <w:t xml:space="preserve"> </w:t>
      </w:r>
      <w:r w:rsidR="004A6789">
        <w:rPr>
          <w:lang w:eastAsia="en-AU"/>
        </w:rPr>
        <w:t xml:space="preserve">have </w:t>
      </w:r>
      <w:r w:rsidRPr="00804B08">
        <w:rPr>
          <w:lang w:eastAsia="en-AU"/>
        </w:rPr>
        <w:t>smal</w:t>
      </w:r>
      <w:r w:rsidR="004A6789">
        <w:rPr>
          <w:lang w:eastAsia="en-AU"/>
        </w:rPr>
        <w:t>l-</w:t>
      </w:r>
      <w:r w:rsidRPr="00804B08">
        <w:rPr>
          <w:lang w:eastAsia="en-AU"/>
        </w:rPr>
        <w:t>sca</w:t>
      </w:r>
      <w:r w:rsidR="00804B08" w:rsidRPr="00804B08">
        <w:rPr>
          <w:lang w:eastAsia="en-AU"/>
        </w:rPr>
        <w:t>le operations and customer base</w:t>
      </w:r>
      <w:r w:rsidR="00653E4B">
        <w:rPr>
          <w:lang w:eastAsia="en-AU"/>
        </w:rPr>
        <w:t>s, and often operate in remote areas of the Territory</w:t>
      </w:r>
      <w:r w:rsidR="00804B08" w:rsidRPr="00804B08">
        <w:rPr>
          <w:lang w:eastAsia="en-AU"/>
        </w:rPr>
        <w:t xml:space="preserve">. </w:t>
      </w:r>
      <w:r w:rsidR="00653E4B">
        <w:t>Small service provider</w:t>
      </w:r>
      <w:r w:rsidR="00B510C9">
        <w:t>s</w:t>
      </w:r>
      <w:r w:rsidR="00653E4B">
        <w:t xml:space="preserve"> will subject to </w:t>
      </w:r>
      <w:r w:rsidR="006776D1">
        <w:t xml:space="preserve">a subset of regulatory requirements </w:t>
      </w:r>
      <w:r w:rsidR="00653E4B">
        <w:t xml:space="preserve">where it will be most beneficial. </w:t>
      </w:r>
    </w:p>
    <w:p w14:paraId="2E3E7762" w14:textId="5BE0DFCB" w:rsidR="00205D25" w:rsidRDefault="00653E4B" w:rsidP="00F17321">
      <w:pPr>
        <w:spacing w:before="200"/>
        <w:rPr>
          <w:lang w:eastAsia="en-AU"/>
        </w:rPr>
      </w:pPr>
      <w:r>
        <w:rPr>
          <w:lang w:eastAsia="en-AU"/>
        </w:rPr>
        <w:t xml:space="preserve">The Territory Government </w:t>
      </w:r>
      <w:r w:rsidR="00EA3699">
        <w:rPr>
          <w:lang w:eastAsia="en-AU"/>
        </w:rPr>
        <w:t xml:space="preserve">recognises </w:t>
      </w:r>
      <w:r>
        <w:rPr>
          <w:lang w:eastAsia="en-AU"/>
        </w:rPr>
        <w:t>the importance of ensuring light touch</w:t>
      </w:r>
      <w:r w:rsidR="004A6789">
        <w:rPr>
          <w:lang w:eastAsia="en-AU"/>
        </w:rPr>
        <w:t xml:space="preserve"> </w:t>
      </w:r>
      <w:r>
        <w:rPr>
          <w:lang w:eastAsia="en-AU"/>
        </w:rPr>
        <w:t>economic regulation is informed by further consultation with service providers and other affect</w:t>
      </w:r>
      <w:r w:rsidR="00B510C9">
        <w:rPr>
          <w:lang w:eastAsia="en-AU"/>
        </w:rPr>
        <w:t xml:space="preserve">ed and interested stakeholders, given it will introduce new regulation where currently none exists. </w:t>
      </w:r>
    </w:p>
    <w:p w14:paraId="44151F63" w14:textId="0D642FCA" w:rsidR="00804B08" w:rsidRPr="00804B08" w:rsidRDefault="00104716" w:rsidP="00F17321">
      <w:pPr>
        <w:spacing w:before="200"/>
        <w:rPr>
          <w:lang w:eastAsia="en-AU"/>
        </w:rPr>
      </w:pPr>
      <w:r>
        <w:t>Therefore, rather than specifying the detail of regulatory arrangements for small service providers, the reform direction seeks to provide a clear basis for development of light touch</w:t>
      </w:r>
      <w:r w:rsidR="004A6789">
        <w:t xml:space="preserve"> </w:t>
      </w:r>
      <w:r>
        <w:t xml:space="preserve">economic regulation, informed by consultation and policy principles. </w:t>
      </w:r>
    </w:p>
    <w:p w14:paraId="2802430C" w14:textId="6466784A" w:rsidR="003D6EDD" w:rsidRPr="003D6EDD" w:rsidRDefault="003D6EDD" w:rsidP="00D932A8">
      <w:pPr>
        <w:pStyle w:val="Heading2"/>
      </w:pPr>
      <w:r>
        <w:t>Service provision that will not be regulated</w:t>
      </w:r>
    </w:p>
    <w:p w14:paraId="57C7E3ED" w14:textId="77777777" w:rsidR="00205D25" w:rsidRPr="00205D25" w:rsidRDefault="00B8521E" w:rsidP="00F17321">
      <w:pPr>
        <w:ind w:left="60"/>
        <w:rPr>
          <w:lang w:eastAsia="en-AU"/>
        </w:rPr>
      </w:pPr>
      <w:r>
        <w:rPr>
          <w:lang w:eastAsia="en-AU"/>
        </w:rPr>
        <w:t xml:space="preserve">A regulated service provider required to hold a licence will be a person or </w:t>
      </w:r>
      <w:r w:rsidRPr="00642E79">
        <w:rPr>
          <w:lang w:eastAsia="en-AU"/>
        </w:rPr>
        <w:t xml:space="preserve">entity that provides water supply </w:t>
      </w:r>
      <w:r w:rsidRPr="00B8521E">
        <w:rPr>
          <w:lang w:eastAsia="en-AU"/>
        </w:rPr>
        <w:t xml:space="preserve">or sewerage services </w:t>
      </w:r>
      <w:r w:rsidRPr="00205D25">
        <w:rPr>
          <w:lang w:eastAsia="en-AU"/>
        </w:rPr>
        <w:t>to other persons by means of water supply or sewerage services infrastructure.</w:t>
      </w:r>
      <w:r w:rsidR="00104716" w:rsidRPr="00205D25">
        <w:rPr>
          <w:lang w:eastAsia="en-AU"/>
        </w:rPr>
        <w:t xml:space="preserve"> </w:t>
      </w:r>
    </w:p>
    <w:p w14:paraId="48BF128B" w14:textId="30B4D057" w:rsidR="003D6EDD" w:rsidRPr="00205D25" w:rsidRDefault="00205D25" w:rsidP="00F17321">
      <w:pPr>
        <w:ind w:left="60"/>
        <w:rPr>
          <w:lang w:eastAsia="en-AU"/>
        </w:rPr>
      </w:pPr>
      <w:r w:rsidRPr="00205D25">
        <w:rPr>
          <w:lang w:eastAsia="en-AU"/>
        </w:rPr>
        <w:t>However, the following service provision arrangements will be excluded from the regulatory framework</w:t>
      </w:r>
      <w:r w:rsidR="003D6EDD" w:rsidRPr="00205D25">
        <w:rPr>
          <w:lang w:eastAsia="en-AU"/>
        </w:rPr>
        <w:t>:</w:t>
      </w:r>
    </w:p>
    <w:p w14:paraId="688692E2" w14:textId="658B6D60" w:rsidR="00205D25" w:rsidRPr="00205D25" w:rsidRDefault="00EA3699" w:rsidP="00F17321">
      <w:pPr>
        <w:pStyle w:val="ListParagraph"/>
        <w:numPr>
          <w:ilvl w:val="0"/>
          <w:numId w:val="19"/>
        </w:numPr>
        <w:rPr>
          <w:lang w:eastAsia="en-AU"/>
        </w:rPr>
      </w:pPr>
      <w:r w:rsidRPr="00205D25">
        <w:rPr>
          <w:lang w:eastAsia="en-AU"/>
        </w:rPr>
        <w:t>s</w:t>
      </w:r>
      <w:r w:rsidR="003D6EDD" w:rsidRPr="00205D25">
        <w:rPr>
          <w:lang w:eastAsia="en-AU"/>
        </w:rPr>
        <w:t>elf-supply of wat</w:t>
      </w:r>
      <w:r w:rsidR="00205D25" w:rsidRPr="00205D25">
        <w:rPr>
          <w:lang w:eastAsia="en-AU"/>
        </w:rPr>
        <w:t>er supply and sewerage services such as a roadhouse with reticulated infrastructure for accommodation and s</w:t>
      </w:r>
      <w:r w:rsidR="004A6789">
        <w:rPr>
          <w:lang w:eastAsia="en-AU"/>
        </w:rPr>
        <w:t xml:space="preserve">elf-supplied </w:t>
      </w:r>
      <w:r w:rsidR="00752FD2">
        <w:rPr>
          <w:lang w:eastAsia="en-AU"/>
        </w:rPr>
        <w:t>homelands</w:t>
      </w:r>
    </w:p>
    <w:p w14:paraId="12175150" w14:textId="543BD074" w:rsidR="003D6EDD" w:rsidRPr="00205D25" w:rsidRDefault="003D6EDD" w:rsidP="00F17321">
      <w:pPr>
        <w:pStyle w:val="ListParagraph"/>
        <w:numPr>
          <w:ilvl w:val="0"/>
          <w:numId w:val="19"/>
        </w:numPr>
        <w:rPr>
          <w:lang w:eastAsia="en-AU"/>
        </w:rPr>
      </w:pPr>
      <w:r w:rsidRPr="00205D25">
        <w:rPr>
          <w:lang w:eastAsia="en-AU"/>
        </w:rPr>
        <w:t>on-supply of servi</w:t>
      </w:r>
      <w:r w:rsidR="00EF64CE">
        <w:rPr>
          <w:lang w:eastAsia="en-AU"/>
        </w:rPr>
        <w:t>ces provided by a licens</w:t>
      </w:r>
      <w:r w:rsidRPr="00205D25">
        <w:rPr>
          <w:lang w:eastAsia="en-AU"/>
        </w:rPr>
        <w:t>ed service provider to other people or entities</w:t>
      </w:r>
      <w:r w:rsidR="004A6789">
        <w:rPr>
          <w:lang w:eastAsia="en-AU"/>
        </w:rPr>
        <w:t xml:space="preserve">, for example, </w:t>
      </w:r>
      <w:r w:rsidRPr="00205D25">
        <w:rPr>
          <w:lang w:eastAsia="en-AU"/>
        </w:rPr>
        <w:t>a body corporate on-supplying to owners and r</w:t>
      </w:r>
      <w:r w:rsidR="00752FD2">
        <w:rPr>
          <w:lang w:eastAsia="en-AU"/>
        </w:rPr>
        <w:t>esidents in an apartment block</w:t>
      </w:r>
    </w:p>
    <w:p w14:paraId="2397361E" w14:textId="113D367B" w:rsidR="003D6EDD" w:rsidRPr="00B8521E" w:rsidRDefault="00EA3699" w:rsidP="00F17321">
      <w:pPr>
        <w:pStyle w:val="ListParagraph"/>
        <w:numPr>
          <w:ilvl w:val="0"/>
          <w:numId w:val="19"/>
        </w:numPr>
        <w:rPr>
          <w:lang w:eastAsia="en-AU"/>
        </w:rPr>
      </w:pPr>
      <w:r w:rsidRPr="00205D25">
        <w:rPr>
          <w:lang w:eastAsia="en-AU"/>
        </w:rPr>
        <w:t>a</w:t>
      </w:r>
      <w:r w:rsidR="003D6EDD" w:rsidRPr="00205D25">
        <w:rPr>
          <w:lang w:eastAsia="en-AU"/>
        </w:rPr>
        <w:t xml:space="preserve"> person </w:t>
      </w:r>
      <w:r w:rsidR="004A6789">
        <w:rPr>
          <w:lang w:eastAsia="en-AU"/>
        </w:rPr>
        <w:t xml:space="preserve">who </w:t>
      </w:r>
      <w:r w:rsidR="003D6EDD" w:rsidRPr="00205D25">
        <w:rPr>
          <w:lang w:eastAsia="en-AU"/>
        </w:rPr>
        <w:t>does not provide services through water</w:t>
      </w:r>
      <w:r w:rsidR="003D6EDD" w:rsidRPr="00B8521E">
        <w:rPr>
          <w:lang w:eastAsia="en-AU"/>
        </w:rPr>
        <w:t xml:space="preserve"> and sewerage infrastructure</w:t>
      </w:r>
      <w:r w:rsidR="004A6789">
        <w:rPr>
          <w:lang w:eastAsia="en-AU"/>
        </w:rPr>
        <w:t>, f</w:t>
      </w:r>
      <w:r w:rsidR="003D6EDD" w:rsidRPr="00B8521E">
        <w:rPr>
          <w:lang w:eastAsia="en-AU"/>
        </w:rPr>
        <w:t>or example,</w:t>
      </w:r>
      <w:r w:rsidR="004A6789">
        <w:rPr>
          <w:lang w:eastAsia="en-AU"/>
        </w:rPr>
        <w:t xml:space="preserve"> </w:t>
      </w:r>
      <w:r w:rsidR="003D6EDD" w:rsidRPr="00B8521E">
        <w:rPr>
          <w:lang w:eastAsia="en-AU"/>
        </w:rPr>
        <w:t xml:space="preserve">a community bore or water tanks, where people access and transport water for consumption. </w:t>
      </w:r>
    </w:p>
    <w:p w14:paraId="3ADECB7C" w14:textId="466685A5" w:rsidR="001F4A22" w:rsidRDefault="001202E2" w:rsidP="001F4A22">
      <w:pPr>
        <w:pStyle w:val="Heading1"/>
        <w:numPr>
          <w:ilvl w:val="0"/>
          <w:numId w:val="0"/>
        </w:numPr>
        <w:ind w:left="432" w:hanging="432"/>
      </w:pPr>
      <w:r>
        <w:t>Future consultation opportunities</w:t>
      </w:r>
    </w:p>
    <w:p w14:paraId="674CF2B8" w14:textId="77777777" w:rsidR="00F82087" w:rsidRDefault="00F82087" w:rsidP="00F17321">
      <w:r>
        <w:t>The Territory Government is committed to effective consultation to inform implementation of the reform directions to improve water supply and sewerage services. As the agency leading implementation, the Department of Treasury and Finance will:</w:t>
      </w:r>
    </w:p>
    <w:p w14:paraId="0E087C26" w14:textId="77777777" w:rsidR="00F82087" w:rsidRDefault="00F82087" w:rsidP="00F17321">
      <w:pPr>
        <w:pStyle w:val="ListParagraph"/>
        <w:numPr>
          <w:ilvl w:val="0"/>
          <w:numId w:val="20"/>
        </w:numPr>
        <w:ind w:left="426"/>
      </w:pPr>
      <w:r>
        <w:t>engage directly with large and small service providers on their existing service provision, seeking feedback on options for new or improved economic regulation to implement the reform directions</w:t>
      </w:r>
    </w:p>
    <w:p w14:paraId="768F8895" w14:textId="1C01EC8A" w:rsidR="00F82087" w:rsidRDefault="00F82087" w:rsidP="00F17321">
      <w:pPr>
        <w:pStyle w:val="ListParagraph"/>
        <w:numPr>
          <w:ilvl w:val="0"/>
          <w:numId w:val="20"/>
        </w:numPr>
        <w:ind w:left="426"/>
      </w:pPr>
      <w:r>
        <w:t>consult with interested stakeholders to facilitate a broad range of views to inform the reform directions</w:t>
      </w:r>
      <w:r w:rsidR="004A6789">
        <w:t xml:space="preserve"> implementation</w:t>
      </w:r>
      <w:r>
        <w:t xml:space="preserve"> in a manner that serves the long-term interests of customers and the community. </w:t>
      </w:r>
    </w:p>
    <w:p w14:paraId="3FFF4E70" w14:textId="1E8B1AF8" w:rsidR="00F82087" w:rsidRDefault="00F82087" w:rsidP="00D932A8">
      <w:pPr>
        <w:pStyle w:val="Heading2"/>
      </w:pPr>
      <w:bookmarkStart w:id="0" w:name="_Toc145838654"/>
      <w:r>
        <w:t>Stakeholder reference group</w:t>
      </w:r>
      <w:bookmarkEnd w:id="0"/>
    </w:p>
    <w:p w14:paraId="75C6FC02" w14:textId="2AE462B0" w:rsidR="00F82087" w:rsidRPr="005A3103" w:rsidRDefault="00F82087" w:rsidP="00F17321">
      <w:r w:rsidRPr="005A3103">
        <w:t>Service</w:t>
      </w:r>
      <w:r w:rsidR="005A3103" w:rsidRPr="005A3103">
        <w:t xml:space="preserve"> providers and other affected an</w:t>
      </w:r>
      <w:r w:rsidRPr="005A3103">
        <w:t xml:space="preserve">d interested stakeholders are encouraged to register for the </w:t>
      </w:r>
      <w:r w:rsidR="005A3103" w:rsidRPr="005A3103">
        <w:t>W</w:t>
      </w:r>
      <w:r w:rsidRPr="005A3103">
        <w:t>ater</w:t>
      </w:r>
      <w:r w:rsidR="004A6789">
        <w:t> </w:t>
      </w:r>
      <w:r w:rsidR="005A3103" w:rsidRPr="005A3103">
        <w:t>S</w:t>
      </w:r>
      <w:r w:rsidRPr="005A3103">
        <w:t xml:space="preserve">upply </w:t>
      </w:r>
      <w:r w:rsidR="005A3103" w:rsidRPr="005A3103">
        <w:t>Economic Regulatory Reform S</w:t>
      </w:r>
      <w:r w:rsidRPr="005A3103">
        <w:t xml:space="preserve">takeholder </w:t>
      </w:r>
      <w:r w:rsidR="005A3103" w:rsidRPr="005A3103">
        <w:t>R</w:t>
      </w:r>
      <w:r w:rsidRPr="005A3103">
        <w:t xml:space="preserve">eference </w:t>
      </w:r>
      <w:r w:rsidR="005A3103" w:rsidRPr="005A3103">
        <w:t>Group.</w:t>
      </w:r>
    </w:p>
    <w:p w14:paraId="4070F5E8" w14:textId="7903E170" w:rsidR="00F82087" w:rsidRPr="005A3103" w:rsidRDefault="00F82087" w:rsidP="00F17321">
      <w:r w:rsidRPr="005A3103">
        <w:t>The stakeholder reference group will facilitate communication and consultation on implementation of the reform directions to improve economic regulation of supply and sewerage servi</w:t>
      </w:r>
      <w:r w:rsidR="009A1096" w:rsidRPr="005A3103">
        <w:t xml:space="preserve">ces. The Department of </w:t>
      </w:r>
      <w:r w:rsidR="009A1096" w:rsidRPr="005A3103">
        <w:lastRenderedPageBreak/>
        <w:t>Treasury</w:t>
      </w:r>
      <w:r w:rsidRPr="005A3103">
        <w:t xml:space="preserve"> and Finance will eng</w:t>
      </w:r>
      <w:r w:rsidR="00EF64CE">
        <w:t>age directly with stakeholders i</w:t>
      </w:r>
      <w:r w:rsidRPr="005A3103">
        <w:t xml:space="preserve">n the group individually and collectively, as relevant and appropriate. </w:t>
      </w:r>
    </w:p>
    <w:p w14:paraId="4820751E" w14:textId="2D94C421" w:rsidR="009C59C7" w:rsidRPr="005B28BD" w:rsidRDefault="009C59C7" w:rsidP="00F17321">
      <w:r w:rsidRPr="005B28BD">
        <w:t>To ensure all interested stakeholders have an opportunity to participate, any stakeholder may register to be part of the stakeholder reference group.</w:t>
      </w:r>
    </w:p>
    <w:p w14:paraId="2039D1B9" w14:textId="569E46D2" w:rsidR="009C59C7" w:rsidRPr="005B28BD" w:rsidRDefault="009C59C7" w:rsidP="00F17321">
      <w:r w:rsidRPr="005B28BD">
        <w:t xml:space="preserve">If you wish to register to be part of the stakeholder reference group to participate in future consultation opportunities, please email </w:t>
      </w:r>
      <w:hyperlink r:id="rId15" w:history="1">
        <w:r w:rsidR="00745255" w:rsidRPr="00745255">
          <w:rPr>
            <w:rStyle w:val="Hyperlink"/>
            <w:b/>
          </w:rPr>
          <w:t>DTF.Water@nt.gov.au</w:t>
        </w:r>
      </w:hyperlink>
      <w:r w:rsidR="00745255" w:rsidRPr="00745255">
        <w:rPr>
          <w:b/>
        </w:rPr>
        <w:t>.</w:t>
      </w:r>
      <w:r w:rsidR="00745255">
        <w:t xml:space="preserve"> </w:t>
      </w:r>
      <w:r w:rsidRPr="005B28BD">
        <w:t>The following details should be provided:</w:t>
      </w:r>
    </w:p>
    <w:p w14:paraId="652F672B" w14:textId="77777777" w:rsidR="009C59C7" w:rsidRPr="005B28BD" w:rsidRDefault="009C59C7" w:rsidP="00F17321">
      <w:pPr>
        <w:pStyle w:val="ListParagraph"/>
        <w:numPr>
          <w:ilvl w:val="0"/>
          <w:numId w:val="21"/>
        </w:numPr>
      </w:pPr>
      <w:r w:rsidRPr="005B28BD">
        <w:t xml:space="preserve">name of representative </w:t>
      </w:r>
    </w:p>
    <w:p w14:paraId="6695C8F7" w14:textId="77777777" w:rsidR="009C59C7" w:rsidRPr="005B28BD" w:rsidRDefault="009C59C7" w:rsidP="00F17321">
      <w:pPr>
        <w:pStyle w:val="ListParagraph"/>
        <w:numPr>
          <w:ilvl w:val="0"/>
          <w:numId w:val="21"/>
        </w:numPr>
      </w:pPr>
      <w:r w:rsidRPr="005B28BD">
        <w:t>organisation</w:t>
      </w:r>
    </w:p>
    <w:p w14:paraId="1B4B9E99" w14:textId="77777777" w:rsidR="009C59C7" w:rsidRPr="005B28BD" w:rsidRDefault="009C59C7" w:rsidP="00F17321">
      <w:pPr>
        <w:pStyle w:val="ListParagraph"/>
        <w:numPr>
          <w:ilvl w:val="0"/>
          <w:numId w:val="21"/>
        </w:numPr>
      </w:pPr>
      <w:r w:rsidRPr="005B28BD">
        <w:t>contact phone number</w:t>
      </w:r>
    </w:p>
    <w:p w14:paraId="3F101884" w14:textId="77777777" w:rsidR="009C59C7" w:rsidRPr="005B28BD" w:rsidRDefault="009C59C7" w:rsidP="00F17321">
      <w:pPr>
        <w:pStyle w:val="ListParagraph"/>
        <w:numPr>
          <w:ilvl w:val="0"/>
          <w:numId w:val="21"/>
        </w:numPr>
      </w:pPr>
      <w:r w:rsidRPr="005B28BD">
        <w:t>contact email address.</w:t>
      </w:r>
    </w:p>
    <w:p w14:paraId="5DF68CF4" w14:textId="7AF30A01" w:rsidR="000D6A53" w:rsidRPr="00487E53" w:rsidRDefault="000D6A53" w:rsidP="00F17321"/>
    <w:sectPr w:rsidR="000D6A53" w:rsidRPr="00487E53" w:rsidSect="001F4A22">
      <w:headerReference w:type="even" r:id="rId16"/>
      <w:headerReference w:type="default" r:id="rId17"/>
      <w:footerReference w:type="default" r:id="rId18"/>
      <w:headerReference w:type="first" r:id="rId19"/>
      <w:footerReference w:type="first" r:id="rId20"/>
      <w:pgSz w:w="11906" w:h="16838" w:code="9"/>
      <w:pgMar w:top="794" w:right="794" w:bottom="794" w:left="794" w:header="794"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5E613" w14:textId="77777777" w:rsidR="00967625" w:rsidRDefault="00967625">
      <w:r>
        <w:separator/>
      </w:r>
    </w:p>
  </w:endnote>
  <w:endnote w:type="continuationSeparator" w:id="0">
    <w:p w14:paraId="57A1E2C0" w14:textId="77777777" w:rsidR="00967625" w:rsidRDefault="00967625">
      <w:r>
        <w:continuationSeparator/>
      </w:r>
    </w:p>
  </w:endnote>
  <w:endnote w:type="continuationNotice" w:id="1">
    <w:p w14:paraId="16A2A999" w14:textId="77777777" w:rsidR="00967625" w:rsidRDefault="0096762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Lato Light">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33E0F" w14:textId="1529DA00" w:rsidR="00964B22" w:rsidRPr="00F538BD" w:rsidRDefault="000A385C" w:rsidP="000A385C">
    <w:pPr>
      <w:pStyle w:val="Hidden"/>
      <w:ind w:firstLine="0"/>
      <w:jc w:val="right"/>
    </w:pPr>
    <w:r w:rsidRPr="001852AF">
      <w:rPr>
        <w:noProof/>
        <w:lang w:eastAsia="en-AU"/>
      </w:rPr>
      <w:drawing>
        <wp:inline distT="0" distB="0" distL="0" distR="0" wp14:anchorId="50A6B5E5" wp14:editId="269CF4B9">
          <wp:extent cx="1572479" cy="561600"/>
          <wp:effectExtent l="0" t="0" r="8890" b="0"/>
          <wp:docPr id="14" name="Picture 14"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2479"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5C1D3E" w:rsidRPr="00916E09" w14:paraId="18A56834" w14:textId="77777777" w:rsidTr="00007EB5">
      <w:trPr>
        <w:cantSplit/>
        <w:trHeight w:hRule="exact" w:val="850"/>
        <w:tblHeader/>
      </w:trPr>
      <w:tc>
        <w:tcPr>
          <w:tcW w:w="10318" w:type="dxa"/>
          <w:vAlign w:val="bottom"/>
        </w:tcPr>
        <w:p w14:paraId="047B0998" w14:textId="77777777" w:rsidR="005C1D3E" w:rsidRPr="00916E09" w:rsidRDefault="005C1D3E" w:rsidP="005C1D3E">
          <w:pPr>
            <w:spacing w:after="0"/>
            <w:rPr>
              <w:rStyle w:val="PageNumber"/>
              <w:b/>
              <w:color w:val="808080" w:themeColor="background1" w:themeShade="80"/>
            </w:rPr>
          </w:pPr>
          <w:r w:rsidRPr="00916E09">
            <w:rPr>
              <w:rStyle w:val="PageNumber"/>
              <w:color w:val="808080" w:themeColor="background1" w:themeShade="80"/>
            </w:rPr>
            <w:t xml:space="preserve">Department of </w:t>
          </w:r>
          <w:sdt>
            <w:sdtPr>
              <w:rPr>
                <w:rStyle w:val="PageNumber"/>
                <w:b/>
                <w:color w:val="808080" w:themeColor="background1" w:themeShade="80"/>
              </w:rPr>
              <w:alias w:val="Company"/>
              <w:tag w:val=""/>
              <w:id w:val="-1550452142"/>
              <w:placeholder>
                <w:docPart w:val="25BC57071FF3458D92CEC12E92D51A2F"/>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sidR="00CA7486" w:rsidRPr="00916E09">
                <w:rPr>
                  <w:rStyle w:val="PageNumber"/>
                  <w:b/>
                  <w:color w:val="808080" w:themeColor="background1" w:themeShade="80"/>
                </w:rPr>
                <w:t>Treasury and Finance</w:t>
              </w:r>
            </w:sdtContent>
          </w:sdt>
          <w:r w:rsidR="00CA7486" w:rsidRPr="00916E09">
            <w:rPr>
              <w:rStyle w:val="PageNumber"/>
              <w:color w:val="808080" w:themeColor="background1" w:themeShade="80"/>
            </w:rPr>
            <w:t xml:space="preserve"> </w:t>
          </w:r>
        </w:p>
        <w:p w14:paraId="7F2BCFCD" w14:textId="367F6B83" w:rsidR="005C1D3E" w:rsidRPr="00916E09" w:rsidRDefault="00266999" w:rsidP="005C1D3E">
          <w:pPr>
            <w:spacing w:after="0"/>
            <w:rPr>
              <w:rStyle w:val="PageNumber"/>
              <w:color w:val="808080" w:themeColor="background1" w:themeShade="80"/>
            </w:rPr>
          </w:pPr>
          <w:sdt>
            <w:sdtPr>
              <w:rPr>
                <w:rStyle w:val="PageNumber"/>
                <w:color w:val="808080" w:themeColor="background1" w:themeShade="80"/>
              </w:rPr>
              <w:alias w:val="Date"/>
              <w:tag w:val=""/>
              <w:id w:val="1578473972"/>
              <w:dataBinding w:prefixMappings="xmlns:ns0='http://schemas.microsoft.com/office/2006/coverPageProps' " w:xpath="/ns0:CoverPageProperties[1]/ns0:PublishDate[1]" w:storeItemID="{55AF091B-3C7A-41E3-B477-F2FDAA23CFDA}"/>
              <w15:color w:val="000000"/>
              <w:date w:fullDate="2024-09-17T00:00:00Z">
                <w:dateFormat w:val="d MMMM yyyy"/>
                <w:lid w:val="en-AU"/>
                <w:storeMappedDataAs w:val="dateTime"/>
                <w:calendar w:val="gregorian"/>
              </w:date>
            </w:sdtPr>
            <w:sdtEndPr>
              <w:rPr>
                <w:rStyle w:val="PageNumber"/>
              </w:rPr>
            </w:sdtEndPr>
            <w:sdtContent>
              <w:r w:rsidR="00481204">
                <w:rPr>
                  <w:rStyle w:val="PageNumber"/>
                  <w:color w:val="808080" w:themeColor="background1" w:themeShade="80"/>
                </w:rPr>
                <w:t>17 September 2024</w:t>
              </w:r>
            </w:sdtContent>
          </w:sdt>
          <w:r w:rsidR="00CA7486" w:rsidRPr="00916E09">
            <w:rPr>
              <w:rStyle w:val="PageNumber"/>
              <w:color w:val="808080" w:themeColor="background1" w:themeShade="80"/>
            </w:rPr>
            <w:t xml:space="preserve"> </w:t>
          </w:r>
        </w:p>
        <w:p w14:paraId="4ECFE588" w14:textId="138BB33C" w:rsidR="005C1D3E" w:rsidRPr="00916E09" w:rsidRDefault="005C1D3E" w:rsidP="005C1D3E">
          <w:pPr>
            <w:spacing w:after="0"/>
            <w:rPr>
              <w:rStyle w:val="PageNumber"/>
              <w:color w:val="808080" w:themeColor="background1" w:themeShade="80"/>
            </w:rPr>
          </w:pPr>
          <w:r w:rsidRPr="00916E09">
            <w:rPr>
              <w:rStyle w:val="PageNumber"/>
              <w:color w:val="808080" w:themeColor="background1" w:themeShade="80"/>
            </w:rPr>
            <w:t xml:space="preserve">Page </w:t>
          </w:r>
          <w:r w:rsidRPr="00916E09">
            <w:rPr>
              <w:rStyle w:val="PageNumber"/>
              <w:color w:val="808080" w:themeColor="background1" w:themeShade="80"/>
            </w:rPr>
            <w:fldChar w:fldCharType="begin"/>
          </w:r>
          <w:r w:rsidRPr="00916E09">
            <w:rPr>
              <w:rStyle w:val="PageNumber"/>
              <w:color w:val="808080" w:themeColor="background1" w:themeShade="80"/>
            </w:rPr>
            <w:instrText xml:space="preserve"> PAGE  \* Arabic  \* MERGEFORMAT </w:instrText>
          </w:r>
          <w:r w:rsidRPr="00916E09">
            <w:rPr>
              <w:rStyle w:val="PageNumber"/>
              <w:color w:val="808080" w:themeColor="background1" w:themeShade="80"/>
            </w:rPr>
            <w:fldChar w:fldCharType="separate"/>
          </w:r>
          <w:r w:rsidR="00247125">
            <w:rPr>
              <w:rStyle w:val="PageNumber"/>
              <w:noProof/>
              <w:color w:val="808080" w:themeColor="background1" w:themeShade="80"/>
            </w:rPr>
            <w:t>6</w:t>
          </w:r>
          <w:r w:rsidRPr="00916E09">
            <w:rPr>
              <w:rStyle w:val="PageNumber"/>
              <w:color w:val="808080" w:themeColor="background1" w:themeShade="80"/>
            </w:rPr>
            <w:fldChar w:fldCharType="end"/>
          </w:r>
          <w:r w:rsidRPr="00916E09">
            <w:rPr>
              <w:rStyle w:val="PageNumber"/>
              <w:color w:val="808080" w:themeColor="background1" w:themeShade="80"/>
            </w:rPr>
            <w:t xml:space="preserve"> of </w:t>
          </w:r>
          <w:r w:rsidRPr="00916E09">
            <w:rPr>
              <w:rStyle w:val="PageNumber"/>
              <w:color w:val="808080" w:themeColor="background1" w:themeShade="80"/>
            </w:rPr>
            <w:fldChar w:fldCharType="begin"/>
          </w:r>
          <w:r w:rsidRPr="00916E09">
            <w:rPr>
              <w:rStyle w:val="PageNumber"/>
              <w:color w:val="808080" w:themeColor="background1" w:themeShade="80"/>
            </w:rPr>
            <w:instrText xml:space="preserve"> NUMPAGES  \* Arabic  \* MERGEFORMAT </w:instrText>
          </w:r>
          <w:r w:rsidRPr="00916E09">
            <w:rPr>
              <w:rStyle w:val="PageNumber"/>
              <w:color w:val="808080" w:themeColor="background1" w:themeShade="80"/>
            </w:rPr>
            <w:fldChar w:fldCharType="separate"/>
          </w:r>
          <w:r w:rsidR="00247125">
            <w:rPr>
              <w:rStyle w:val="PageNumber"/>
              <w:noProof/>
              <w:color w:val="808080" w:themeColor="background1" w:themeShade="80"/>
            </w:rPr>
            <w:t>6</w:t>
          </w:r>
          <w:r w:rsidRPr="00916E09">
            <w:rPr>
              <w:rStyle w:val="PageNumber"/>
              <w:color w:val="808080" w:themeColor="background1" w:themeShade="80"/>
            </w:rPr>
            <w:fldChar w:fldCharType="end"/>
          </w:r>
        </w:p>
      </w:tc>
    </w:tr>
  </w:tbl>
  <w:p w14:paraId="1C9B458B" w14:textId="77777777" w:rsidR="001852AF" w:rsidRPr="00916E09" w:rsidRDefault="001852AF" w:rsidP="005C1D3E">
    <w:pPr>
      <w:pStyle w:val="Hidden"/>
      <w:rPr>
        <w:color w:val="808080" w:themeColor="background1" w:themeShade="80"/>
      </w:rPr>
    </w:pPr>
  </w:p>
  <w:p w14:paraId="0BC7B73F" w14:textId="77777777" w:rsidR="00236878" w:rsidRPr="001852AF" w:rsidRDefault="00236878" w:rsidP="008D2631">
    <w:pPr>
      <w:pStyle w:val="Hidden"/>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E4431A" w:rsidRPr="00132658" w14:paraId="211153B3" w14:textId="77777777" w:rsidTr="00DE3D1D">
      <w:trPr>
        <w:cantSplit/>
        <w:trHeight w:hRule="exact" w:val="850"/>
        <w:tblHeader/>
      </w:trPr>
      <w:tc>
        <w:tcPr>
          <w:tcW w:w="10318" w:type="dxa"/>
          <w:vAlign w:val="bottom"/>
        </w:tcPr>
        <w:p w14:paraId="37854F23" w14:textId="77777777" w:rsidR="00E4431A" w:rsidRDefault="00E4431A" w:rsidP="00E4431A">
          <w:pPr>
            <w:spacing w:after="0"/>
            <w:rPr>
              <w:rStyle w:val="PageNumber"/>
              <w:b/>
            </w:rPr>
          </w:pPr>
          <w:r>
            <w:rPr>
              <w:rStyle w:val="PageNumber"/>
            </w:rPr>
            <w:t xml:space="preserve">Department of </w:t>
          </w:r>
          <w:sdt>
            <w:sdtPr>
              <w:rPr>
                <w:rStyle w:val="PageNumber"/>
                <w:b/>
              </w:rPr>
              <w:alias w:val="Company"/>
              <w:tag w:val=""/>
              <w:id w:val="1814376994"/>
              <w:placeholder>
                <w:docPart w:val="378901D301E74114871386C4064FC5C9"/>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Pr>
                  <w:rStyle w:val="PageNumber"/>
                  <w:b/>
                </w:rPr>
                <w:t>Treasury and Finance</w:t>
              </w:r>
            </w:sdtContent>
          </w:sdt>
          <w:r>
            <w:rPr>
              <w:rStyle w:val="PageNumber"/>
            </w:rPr>
            <w:t xml:space="preserve"> </w:t>
          </w:r>
        </w:p>
        <w:p w14:paraId="1039B408" w14:textId="4B17CA2C" w:rsidR="00E4431A" w:rsidRPr="00CE6614" w:rsidRDefault="00266999" w:rsidP="00E4431A">
          <w:pPr>
            <w:spacing w:after="0"/>
            <w:rPr>
              <w:rStyle w:val="PageNumber"/>
            </w:rPr>
          </w:pPr>
          <w:sdt>
            <w:sdtPr>
              <w:rPr>
                <w:rStyle w:val="PageNumber"/>
              </w:rPr>
              <w:alias w:val="Date"/>
              <w:tag w:val=""/>
              <w:id w:val="-1825267839"/>
              <w:dataBinding w:prefixMappings="xmlns:ns0='http://schemas.microsoft.com/office/2006/coverPageProps' " w:xpath="/ns0:CoverPageProperties[1]/ns0:PublishDate[1]" w:storeItemID="{55AF091B-3C7A-41E3-B477-F2FDAA23CFDA}"/>
              <w15:color w:val="000000"/>
              <w:date w:fullDate="2024-09-17T00:00:00Z">
                <w:dateFormat w:val="d MMMM yyyy"/>
                <w:lid w:val="en-AU"/>
                <w:storeMappedDataAs w:val="dateTime"/>
                <w:calendar w:val="gregorian"/>
              </w:date>
            </w:sdtPr>
            <w:sdtEndPr>
              <w:rPr>
                <w:rStyle w:val="PageNumber"/>
              </w:rPr>
            </w:sdtEndPr>
            <w:sdtContent>
              <w:r w:rsidR="00481204">
                <w:rPr>
                  <w:rStyle w:val="PageNumber"/>
                </w:rPr>
                <w:t>17 September 2024</w:t>
              </w:r>
            </w:sdtContent>
          </w:sdt>
          <w:r w:rsidR="00E4431A">
            <w:rPr>
              <w:rStyle w:val="PageNumber"/>
            </w:rPr>
            <w:t xml:space="preserve"> </w:t>
          </w:r>
        </w:p>
        <w:p w14:paraId="10BC40DF" w14:textId="18DD7D1E" w:rsidR="00E4431A" w:rsidRPr="00AC4488" w:rsidRDefault="00E4431A" w:rsidP="00E4431A">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247125">
            <w:rPr>
              <w:rStyle w:val="PageNumber"/>
              <w:noProof/>
            </w:rPr>
            <w:t>2</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247125">
            <w:rPr>
              <w:rStyle w:val="PageNumber"/>
              <w:noProof/>
            </w:rPr>
            <w:t>6</w:t>
          </w:r>
          <w:r w:rsidRPr="00AC4488">
            <w:rPr>
              <w:rStyle w:val="PageNumber"/>
            </w:rPr>
            <w:fldChar w:fldCharType="end"/>
          </w:r>
        </w:p>
      </w:tc>
    </w:tr>
  </w:tbl>
  <w:p w14:paraId="30C4C5B5" w14:textId="77777777" w:rsidR="00E4431A" w:rsidRDefault="00E4431A" w:rsidP="00E4431A">
    <w:pPr>
      <w:pStyle w:val="Hidden"/>
    </w:pPr>
  </w:p>
  <w:p w14:paraId="7098B87A" w14:textId="5126392E" w:rsidR="00E4431A" w:rsidRPr="00F538BD" w:rsidRDefault="00E4431A" w:rsidP="000A385C">
    <w:pPr>
      <w:pStyle w:val="Hidden"/>
      <w:ind w:firstLine="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86179" w14:textId="77777777" w:rsidR="00967625" w:rsidRDefault="00967625">
      <w:r>
        <w:separator/>
      </w:r>
    </w:p>
  </w:footnote>
  <w:footnote w:type="continuationSeparator" w:id="0">
    <w:p w14:paraId="3782D7B7" w14:textId="77777777" w:rsidR="00967625" w:rsidRDefault="00967625">
      <w:r>
        <w:continuationSeparator/>
      </w:r>
    </w:p>
  </w:footnote>
  <w:footnote w:type="continuationNotice" w:id="1">
    <w:p w14:paraId="0BAE0BCA" w14:textId="77777777" w:rsidR="00967625" w:rsidRDefault="0096762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BDD28" w14:textId="6F69611F" w:rsidR="000D6A53" w:rsidRDefault="00266999">
    <w:pPr>
      <w:pStyle w:val="Header"/>
    </w:pPr>
    <w:r>
      <w:rPr>
        <w:noProof/>
      </w:rPr>
      <w:pict w14:anchorId="5C5622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383766" o:spid="_x0000_s2050" type="#_x0000_t136" style="position:absolute;left:0;text-align:left;margin-left:0;margin-top:0;width:669.1pt;height:58.15pt;rotation:315;z-index:-251655168;mso-position-horizontal:center;mso-position-horizontal-relative:margin;mso-position-vertical:center;mso-position-vertical-relative:margin" o:allowincell="f" fillcolor="#7f7f7f [1612]" stroked="f">
          <v:fill opacity=".5"/>
          <v:textpath style="font-family:&quot;Lato&quot;;font-size:1pt" string="CONFIDENTIAL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2C2A4" w14:textId="7AEE144E" w:rsidR="00964B22" w:rsidRPr="008E0345" w:rsidRDefault="00266999" w:rsidP="001852AF">
    <w:pPr>
      <w:pStyle w:val="Header"/>
    </w:pPr>
    <w:r>
      <w:rPr>
        <w:noProof/>
      </w:rPr>
      <w:pict w14:anchorId="619EA6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383767" o:spid="_x0000_s2051" type="#_x0000_t136" style="position:absolute;left:0;text-align:left;margin-left:0;margin-top:0;width:669.1pt;height:58.15pt;rotation:315;z-index:-251653120;mso-position-horizontal:center;mso-position-horizontal-relative:margin;mso-position-vertical:center;mso-position-vertical-relative:margin" o:allowincell="f" fillcolor="#7f7f7f [1612]" stroked="f">
          <v:fill opacity=".5"/>
          <v:textpath style="font-family:&quot;Lato&quot;;font-size:1pt" string="CONFIDENTIAL DRAFT"/>
          <w10:wrap anchorx="margin" anchory="margin"/>
        </v:shape>
      </w:pict>
    </w: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8C41D4">
          <w:t>Reform directions to improve economic regulation of water and sewerage services</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1EF19" w14:textId="4C6E4650" w:rsidR="004B7373" w:rsidRDefault="00E4431A" w:rsidP="00382BE1">
    <w:pPr>
      <w:tabs>
        <w:tab w:val="right" w:pos="10318"/>
      </w:tabs>
    </w:pPr>
    <w:r>
      <w:rPr>
        <w:noProof/>
        <w:lang w:eastAsia="en-AU"/>
      </w:rPr>
      <w:drawing>
        <wp:anchor distT="0" distB="0" distL="114300" distR="114300" simplePos="0" relativeHeight="251668480" behindDoc="1" locked="0" layoutInCell="1" allowOverlap="1" wp14:anchorId="7F78595B" wp14:editId="27E46EC9">
          <wp:simplePos x="0" y="0"/>
          <wp:positionH relativeFrom="column">
            <wp:posOffset>-747395</wp:posOffset>
          </wp:positionH>
          <wp:positionV relativeFrom="paragraph">
            <wp:posOffset>282413</wp:posOffset>
          </wp:positionV>
          <wp:extent cx="15479395" cy="15485110"/>
          <wp:effectExtent l="0" t="0" r="8255"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79395" cy="154851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28113" w14:textId="303F70FD" w:rsidR="00F42C62" w:rsidRDefault="00266999">
    <w:pPr>
      <w:pStyle w:val="Header"/>
    </w:pPr>
    <w:r>
      <w:rPr>
        <w:noProof/>
      </w:rPr>
      <w:pict w14:anchorId="230274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383769" o:spid="_x0000_s2053" type="#_x0000_t136" style="position:absolute;left:0;text-align:left;margin-left:0;margin-top:0;width:669.1pt;height:58.15pt;rotation:315;z-index:-251649024;mso-position-horizontal:center;mso-position-horizontal-relative:margin;mso-position-vertical:center;mso-position-vertical-relative:margin" o:allowincell="f" fillcolor="#7f7f7f [1612]" stroked="f">
          <v:fill opacity=".5"/>
          <v:textpath style="font-family:&quot;Lato&quot;;font-size:1pt" string="CONFIDENTIAL 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21B63" w14:textId="01666222" w:rsidR="00F42C62" w:rsidRPr="00916E09" w:rsidRDefault="00916E09" w:rsidP="00916E09">
    <w:pPr>
      <w:pStyle w:val="Header"/>
      <w:rPr>
        <w:color w:val="808080" w:themeColor="background1" w:themeShade="80"/>
      </w:rPr>
    </w:pPr>
    <w:r w:rsidRPr="00916E09">
      <w:rPr>
        <w:color w:val="808080" w:themeColor="background1" w:themeShade="80"/>
      </w:rPr>
      <w:t>Reform directions to improve economic regulation of water and sewerage services – summary paper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F5261" w14:textId="446DF31D" w:rsidR="00983000" w:rsidRPr="00916E09" w:rsidRDefault="00916E09" w:rsidP="00916E09">
    <w:pPr>
      <w:pStyle w:val="Header"/>
      <w:rPr>
        <w:color w:val="808080" w:themeColor="background1" w:themeShade="80"/>
      </w:rPr>
    </w:pPr>
    <w:r w:rsidRPr="00916E09">
      <w:rPr>
        <w:color w:val="808080" w:themeColor="background1" w:themeShade="80"/>
      </w:rPr>
      <w:t>Reform directions to improve economic regulation of water and sewerage services – summary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C6DBF"/>
    <w:multiLevelType w:val="hybridMultilevel"/>
    <w:tmpl w:val="F650FF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295FB0"/>
    <w:multiLevelType w:val="hybridMultilevel"/>
    <w:tmpl w:val="DFC65018"/>
    <w:lvl w:ilvl="0" w:tplc="45705AE0">
      <w:numFmt w:val="bullet"/>
      <w:lvlText w:val="•"/>
      <w:lvlJc w:val="left"/>
      <w:pPr>
        <w:ind w:left="360" w:hanging="360"/>
      </w:pPr>
      <w:rPr>
        <w:rFonts w:ascii="Lato" w:eastAsia="Calibri" w:hAnsi="La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7245D0"/>
    <w:multiLevelType w:val="multilevel"/>
    <w:tmpl w:val="0C78A7AC"/>
    <w:name w:val="NTG Table Bullet List322"/>
    <w:numStyleLink w:val="Tablebulletlist"/>
  </w:abstractNum>
  <w:abstractNum w:abstractNumId="3" w15:restartNumberingAfterBreak="0">
    <w:nsid w:val="0F195B3C"/>
    <w:multiLevelType w:val="multilevel"/>
    <w:tmpl w:val="3928FD02"/>
    <w:name w:val="NTG Table Bullet List3322222"/>
    <w:numStyleLink w:val="Bulletlist"/>
  </w:abstractNum>
  <w:abstractNum w:abstractNumId="4" w15:restartNumberingAfterBreak="0">
    <w:nsid w:val="100244A1"/>
    <w:multiLevelType w:val="multilevel"/>
    <w:tmpl w:val="0C78A7AC"/>
    <w:name w:val="NTG Table Bullet List332"/>
    <w:numStyleLink w:val="Tablebulletlist"/>
  </w:abstractNum>
  <w:abstractNum w:abstractNumId="5" w15:restartNumberingAfterBreak="0">
    <w:nsid w:val="1012237B"/>
    <w:multiLevelType w:val="multilevel"/>
    <w:tmpl w:val="0C78A7AC"/>
    <w:name w:val="NTG Table Bullet List32"/>
    <w:numStyleLink w:val="Tablebulletlist"/>
  </w:abstractNum>
  <w:abstractNum w:abstractNumId="6" w15:restartNumberingAfterBreak="0">
    <w:nsid w:val="10BF0FF1"/>
    <w:multiLevelType w:val="hybridMultilevel"/>
    <w:tmpl w:val="7ABE31EA"/>
    <w:lvl w:ilvl="0" w:tplc="0C090001">
      <w:start w:val="1"/>
      <w:numFmt w:val="bullet"/>
      <w:lvlText w:val=""/>
      <w:lvlJc w:val="left"/>
      <w:pPr>
        <w:ind w:left="1440" w:hanging="360"/>
      </w:pPr>
      <w:rPr>
        <w:rFonts w:ascii="Symbol" w:hAnsi="Symbol" w:hint="default"/>
      </w:rPr>
    </w:lvl>
    <w:lvl w:ilvl="1" w:tplc="2A44F748">
      <w:start w:val="1"/>
      <w:numFmt w:val="bullet"/>
      <w:lvlText w:val="­"/>
      <w:lvlJc w:val="left"/>
      <w:pPr>
        <w:ind w:left="2160" w:hanging="360"/>
      </w:pPr>
      <w:rPr>
        <w:rFonts w:ascii="Courier New" w:hAnsi="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5E93577"/>
    <w:multiLevelType w:val="multilevel"/>
    <w:tmpl w:val="4E6AC8F6"/>
    <w:name w:val="NTG Table Bullet List33222222"/>
    <w:numStyleLink w:val="Numberlist"/>
  </w:abstractNum>
  <w:abstractNum w:abstractNumId="8" w15:restartNumberingAfterBreak="0">
    <w:nsid w:val="18D26C06"/>
    <w:multiLevelType w:val="multilevel"/>
    <w:tmpl w:val="3E5E177A"/>
    <w:name w:val="NTG Table Bullet List33222222222222222"/>
    <w:numStyleLink w:val="Tablenumberlist"/>
  </w:abstractNum>
  <w:abstractNum w:abstractNumId="9" w15:restartNumberingAfterBreak="0">
    <w:nsid w:val="19533A06"/>
    <w:multiLevelType w:val="multilevel"/>
    <w:tmpl w:val="3928FD02"/>
    <w:name w:val="NTG Table Bullet List3222"/>
    <w:numStyleLink w:val="Bulletlist"/>
  </w:abstractNum>
  <w:abstractNum w:abstractNumId="10"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1" w15:restartNumberingAfterBreak="0">
    <w:nsid w:val="1B26429D"/>
    <w:multiLevelType w:val="multilevel"/>
    <w:tmpl w:val="3E5E177A"/>
    <w:name w:val="NTG Table Bullet List33222222222"/>
    <w:numStyleLink w:val="Tablenumberlist"/>
  </w:abstractNum>
  <w:abstractNum w:abstractNumId="12" w15:restartNumberingAfterBreak="0">
    <w:nsid w:val="1B86276C"/>
    <w:multiLevelType w:val="multilevel"/>
    <w:tmpl w:val="3928FD02"/>
    <w:name w:val="NTG Table Bullet List32223"/>
    <w:numStyleLink w:val="Bulletlist"/>
  </w:abstractNum>
  <w:abstractNum w:abstractNumId="13" w15:restartNumberingAfterBreak="0">
    <w:nsid w:val="1D0744AE"/>
    <w:multiLevelType w:val="multilevel"/>
    <w:tmpl w:val="3E5E177A"/>
    <w:name w:val="NTG Table Bullet List3222322"/>
    <w:numStyleLink w:val="Tablenumberlist"/>
  </w:abstractNum>
  <w:abstractNum w:abstractNumId="14"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5" w15:restartNumberingAfterBreak="0">
    <w:nsid w:val="26164FBB"/>
    <w:multiLevelType w:val="hybridMultilevel"/>
    <w:tmpl w:val="13169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2E3F76"/>
    <w:multiLevelType w:val="multilevel"/>
    <w:tmpl w:val="3E5E177A"/>
    <w:name w:val="NTG Table Bullet List3322"/>
    <w:numStyleLink w:val="Tablenumberlist"/>
  </w:abstractNum>
  <w:abstractNum w:abstractNumId="17" w15:restartNumberingAfterBreak="0">
    <w:nsid w:val="27CE4608"/>
    <w:multiLevelType w:val="multilevel"/>
    <w:tmpl w:val="3E5E177A"/>
    <w:name w:val="NTG Table Bullet List33222"/>
    <w:numStyleLink w:val="Tablenumberlist"/>
  </w:abstractNum>
  <w:abstractNum w:abstractNumId="18" w15:restartNumberingAfterBreak="0">
    <w:nsid w:val="27D83E4D"/>
    <w:multiLevelType w:val="multilevel"/>
    <w:tmpl w:val="3928FD02"/>
    <w:numStyleLink w:val="Bulletlist"/>
  </w:abstractNum>
  <w:abstractNum w:abstractNumId="19"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0" w15:restartNumberingAfterBreak="0">
    <w:nsid w:val="2E693641"/>
    <w:multiLevelType w:val="multilevel"/>
    <w:tmpl w:val="3E5E177A"/>
    <w:name w:val="NTG Table Bullet List33"/>
    <w:numStyleLink w:val="Tablenumberlist"/>
  </w:abstractNum>
  <w:abstractNum w:abstractNumId="21" w15:restartNumberingAfterBreak="0">
    <w:nsid w:val="2EF077BC"/>
    <w:multiLevelType w:val="multilevel"/>
    <w:tmpl w:val="0C78A7AC"/>
    <w:name w:val="NTG Table Bullet List33222222222222222222"/>
    <w:numStyleLink w:val="Tablebulletlist"/>
  </w:abstractNum>
  <w:abstractNum w:abstractNumId="22" w15:restartNumberingAfterBreak="0">
    <w:nsid w:val="2F2F5C29"/>
    <w:multiLevelType w:val="hybridMultilevel"/>
    <w:tmpl w:val="284AE42A"/>
    <w:lvl w:ilvl="0" w:tplc="0C090001">
      <w:start w:val="1"/>
      <w:numFmt w:val="bullet"/>
      <w:lvlText w:val=""/>
      <w:lvlJc w:val="left"/>
      <w:pPr>
        <w:ind w:left="420" w:hanging="360"/>
      </w:pPr>
      <w:rPr>
        <w:rFonts w:ascii="Symbol" w:hAnsi="Symbol" w:hint="default"/>
      </w:rPr>
    </w:lvl>
    <w:lvl w:ilvl="1" w:tplc="2A44F748">
      <w:start w:val="1"/>
      <w:numFmt w:val="bullet"/>
      <w:lvlText w:val="­"/>
      <w:lvlJc w:val="left"/>
      <w:pPr>
        <w:ind w:left="1140" w:hanging="360"/>
      </w:pPr>
      <w:rPr>
        <w:rFonts w:ascii="Courier New" w:hAnsi="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3" w15:restartNumberingAfterBreak="0">
    <w:nsid w:val="32DF44DA"/>
    <w:multiLevelType w:val="multilevel"/>
    <w:tmpl w:val="3E5E177A"/>
    <w:name w:val="NTG Table Bullet List3222323"/>
    <w:numStyleLink w:val="Tablenumberlist"/>
  </w:abstractNum>
  <w:abstractNum w:abstractNumId="24"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5"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9C32566"/>
    <w:multiLevelType w:val="hybridMultilevel"/>
    <w:tmpl w:val="CBC85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BE61945"/>
    <w:multiLevelType w:val="multilevel"/>
    <w:tmpl w:val="3928FD02"/>
    <w:name w:val="NTG Table Bullet List332222222222222222"/>
    <w:numStyleLink w:val="Bulletlist"/>
  </w:abstractNum>
  <w:abstractNum w:abstractNumId="28" w15:restartNumberingAfterBreak="0">
    <w:nsid w:val="43EE478F"/>
    <w:multiLevelType w:val="hybridMultilevel"/>
    <w:tmpl w:val="E076D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FD3A20"/>
    <w:multiLevelType w:val="multilevel"/>
    <w:tmpl w:val="3E5E177A"/>
    <w:name w:val="NTG Table Bullet List3322222222222"/>
    <w:numStyleLink w:val="Tablenumberlist"/>
  </w:abstractNum>
  <w:abstractNum w:abstractNumId="30"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31"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2" w15:restartNumberingAfterBreak="0">
    <w:nsid w:val="53842BC6"/>
    <w:multiLevelType w:val="multilevel"/>
    <w:tmpl w:val="0C78A7AC"/>
    <w:numStyleLink w:val="Tablebulletlist"/>
  </w:abstractNum>
  <w:abstractNum w:abstractNumId="33"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4" w15:restartNumberingAfterBreak="0">
    <w:nsid w:val="56DA2CAE"/>
    <w:multiLevelType w:val="multilevel"/>
    <w:tmpl w:val="3E5E177A"/>
    <w:name w:val="NTG Table Bullet List332222222222222"/>
    <w:numStyleLink w:val="Tablenumberlist"/>
  </w:abstractNum>
  <w:abstractNum w:abstractNumId="35" w15:restartNumberingAfterBreak="0">
    <w:nsid w:val="583359D9"/>
    <w:multiLevelType w:val="multilevel"/>
    <w:tmpl w:val="3E5E177A"/>
    <w:name w:val="NTG Table Bullet List332222222"/>
    <w:numStyleLink w:val="Tablenumberlist"/>
  </w:abstractNum>
  <w:abstractNum w:abstractNumId="36" w15:restartNumberingAfterBreak="0">
    <w:nsid w:val="5ABE78B8"/>
    <w:multiLevelType w:val="hybridMultilevel"/>
    <w:tmpl w:val="2ABA86C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7" w15:restartNumberingAfterBreak="0">
    <w:nsid w:val="5B7B4133"/>
    <w:multiLevelType w:val="hybridMultilevel"/>
    <w:tmpl w:val="1BDE6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B9A5FFE"/>
    <w:multiLevelType w:val="multilevel"/>
    <w:tmpl w:val="0C78A7AC"/>
    <w:name w:val="NTG Table Bullet List33222222222222"/>
    <w:numStyleLink w:val="Tablebulletlist"/>
  </w:abstractNum>
  <w:abstractNum w:abstractNumId="39" w15:restartNumberingAfterBreak="0">
    <w:nsid w:val="5D444259"/>
    <w:multiLevelType w:val="multilevel"/>
    <w:tmpl w:val="0C78A7AC"/>
    <w:name w:val="NTG Table Bullet List332222"/>
    <w:numStyleLink w:val="Tablebulletlist"/>
  </w:abstractNum>
  <w:abstractNum w:abstractNumId="40" w15:restartNumberingAfterBreak="0">
    <w:nsid w:val="69262556"/>
    <w:multiLevelType w:val="multilevel"/>
    <w:tmpl w:val="3E5E177A"/>
    <w:name w:val="NTG Table Bullet List3322222222222222"/>
    <w:numStyleLink w:val="Tablenumberlist"/>
  </w:abstractNum>
  <w:abstractNum w:abstractNumId="41" w15:restartNumberingAfterBreak="0">
    <w:nsid w:val="7453664D"/>
    <w:multiLevelType w:val="multilevel"/>
    <w:tmpl w:val="0C78A7AC"/>
    <w:name w:val="NTG Table Bullet List3322222222222222222"/>
    <w:numStyleLink w:val="Tablebulletlist"/>
  </w:abstractNum>
  <w:abstractNum w:abstractNumId="42" w15:restartNumberingAfterBreak="0">
    <w:nsid w:val="76141D1E"/>
    <w:multiLevelType w:val="multilevel"/>
    <w:tmpl w:val="0C78A7AC"/>
    <w:name w:val="NTG Table Bullet List332222222222"/>
    <w:numStyleLink w:val="Tablebulletlist"/>
  </w:abstractNum>
  <w:abstractNum w:abstractNumId="43" w15:restartNumberingAfterBreak="0">
    <w:nsid w:val="79CC6470"/>
    <w:multiLevelType w:val="multilevel"/>
    <w:tmpl w:val="FE386D30"/>
    <w:lvl w:ilvl="0">
      <w:start w:val="1"/>
      <w:numFmt w:val="decimal"/>
      <w:pStyle w:val="Heading1"/>
      <w:suff w:val="space"/>
      <w:lvlText w:val="%1."/>
      <w:lvlJc w:val="left"/>
      <w:pPr>
        <w:ind w:left="432" w:hanging="432"/>
      </w:pPr>
      <w:rPr>
        <w:rFonts w:hint="default"/>
        <w:b w:val="0"/>
        <w:i w:val="0"/>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44" w15:restartNumberingAfterBreak="0">
    <w:nsid w:val="79FD4290"/>
    <w:multiLevelType w:val="hybridMultilevel"/>
    <w:tmpl w:val="8D76498E"/>
    <w:lvl w:ilvl="0" w:tplc="0C090001">
      <w:start w:val="1"/>
      <w:numFmt w:val="bullet"/>
      <w:lvlText w:val=""/>
      <w:lvlJc w:val="left"/>
      <w:pPr>
        <w:ind w:left="360" w:hanging="360"/>
      </w:pPr>
      <w:rPr>
        <w:rFonts w:ascii="Symbol" w:hAnsi="Symbol" w:hint="default"/>
      </w:rPr>
    </w:lvl>
    <w:lvl w:ilvl="1" w:tplc="2F58CEF0">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16cid:durableId="722289566">
    <w:abstractNumId w:val="24"/>
  </w:num>
  <w:num w:numId="2" w16cid:durableId="1717468987">
    <w:abstractNumId w:val="14"/>
  </w:num>
  <w:num w:numId="3" w16cid:durableId="1725905549">
    <w:abstractNumId w:val="43"/>
  </w:num>
  <w:num w:numId="4" w16cid:durableId="1386373794">
    <w:abstractNumId w:val="30"/>
  </w:num>
  <w:num w:numId="5" w16cid:durableId="1783307047">
    <w:abstractNumId w:val="19"/>
  </w:num>
  <w:num w:numId="6" w16cid:durableId="824737018">
    <w:abstractNumId w:val="10"/>
  </w:num>
  <w:num w:numId="7" w16cid:durableId="541750533">
    <w:abstractNumId w:val="32"/>
  </w:num>
  <w:num w:numId="8" w16cid:durableId="854686229">
    <w:abstractNumId w:val="18"/>
  </w:num>
  <w:num w:numId="9" w16cid:durableId="1283344475">
    <w:abstractNumId w:val="25"/>
  </w:num>
  <w:num w:numId="10" w16cid:durableId="376668151">
    <w:abstractNumId w:val="0"/>
  </w:num>
  <w:num w:numId="11" w16cid:durableId="1840927094">
    <w:abstractNumId w:val="43"/>
  </w:num>
  <w:num w:numId="12" w16cid:durableId="1598096348">
    <w:abstractNumId w:val="1"/>
  </w:num>
  <w:num w:numId="13" w16cid:durableId="1258295864">
    <w:abstractNumId w:val="44"/>
  </w:num>
  <w:num w:numId="14" w16cid:durableId="1507666907">
    <w:abstractNumId w:val="28"/>
  </w:num>
  <w:num w:numId="15" w16cid:durableId="2038701918">
    <w:abstractNumId w:val="3"/>
  </w:num>
  <w:num w:numId="16" w16cid:durableId="123549837">
    <w:abstractNumId w:val="26"/>
  </w:num>
  <w:num w:numId="17" w16cid:durableId="1165243353">
    <w:abstractNumId w:val="6"/>
  </w:num>
  <w:num w:numId="18" w16cid:durableId="2045445886">
    <w:abstractNumId w:val="37"/>
  </w:num>
  <w:num w:numId="19" w16cid:durableId="773401638">
    <w:abstractNumId w:val="22"/>
  </w:num>
  <w:num w:numId="20" w16cid:durableId="1206529368">
    <w:abstractNumId w:val="36"/>
  </w:num>
  <w:num w:numId="21" w16cid:durableId="1472207157">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486"/>
    <w:rsid w:val="00001DDF"/>
    <w:rsid w:val="0000322D"/>
    <w:rsid w:val="00007670"/>
    <w:rsid w:val="00010036"/>
    <w:rsid w:val="00010665"/>
    <w:rsid w:val="0002070E"/>
    <w:rsid w:val="0002393A"/>
    <w:rsid w:val="00027DB8"/>
    <w:rsid w:val="000307A7"/>
    <w:rsid w:val="00031A96"/>
    <w:rsid w:val="000368B5"/>
    <w:rsid w:val="00040BF3"/>
    <w:rsid w:val="00044F37"/>
    <w:rsid w:val="0004577F"/>
    <w:rsid w:val="00046C59"/>
    <w:rsid w:val="00051362"/>
    <w:rsid w:val="00051F45"/>
    <w:rsid w:val="00052953"/>
    <w:rsid w:val="0005341A"/>
    <w:rsid w:val="00054AFE"/>
    <w:rsid w:val="00056DEF"/>
    <w:rsid w:val="000720BE"/>
    <w:rsid w:val="0007259C"/>
    <w:rsid w:val="00074573"/>
    <w:rsid w:val="000760E8"/>
    <w:rsid w:val="00080202"/>
    <w:rsid w:val="00080DCD"/>
    <w:rsid w:val="00080E22"/>
    <w:rsid w:val="00082573"/>
    <w:rsid w:val="000840A3"/>
    <w:rsid w:val="00084F06"/>
    <w:rsid w:val="00085062"/>
    <w:rsid w:val="00086A5F"/>
    <w:rsid w:val="000911EF"/>
    <w:rsid w:val="000962C5"/>
    <w:rsid w:val="000968F3"/>
    <w:rsid w:val="000A385C"/>
    <w:rsid w:val="000A4317"/>
    <w:rsid w:val="000A559C"/>
    <w:rsid w:val="000B2CA1"/>
    <w:rsid w:val="000B7F0A"/>
    <w:rsid w:val="000D1F29"/>
    <w:rsid w:val="000D32C0"/>
    <w:rsid w:val="000D633D"/>
    <w:rsid w:val="000D6A53"/>
    <w:rsid w:val="000D6BAE"/>
    <w:rsid w:val="000D6FA4"/>
    <w:rsid w:val="000E0962"/>
    <w:rsid w:val="000E342B"/>
    <w:rsid w:val="000E38FB"/>
    <w:rsid w:val="000E5DD2"/>
    <w:rsid w:val="000F1A7F"/>
    <w:rsid w:val="000F2958"/>
    <w:rsid w:val="000F4805"/>
    <w:rsid w:val="00104716"/>
    <w:rsid w:val="00104E7F"/>
    <w:rsid w:val="001117D8"/>
    <w:rsid w:val="001137EC"/>
    <w:rsid w:val="001152F5"/>
    <w:rsid w:val="00117743"/>
    <w:rsid w:val="00117F5B"/>
    <w:rsid w:val="001202E2"/>
    <w:rsid w:val="00127543"/>
    <w:rsid w:val="0013033D"/>
    <w:rsid w:val="00132658"/>
    <w:rsid w:val="00133B8B"/>
    <w:rsid w:val="00144E22"/>
    <w:rsid w:val="00147716"/>
    <w:rsid w:val="00147DED"/>
    <w:rsid w:val="00150DC0"/>
    <w:rsid w:val="00156CD4"/>
    <w:rsid w:val="00161CC6"/>
    <w:rsid w:val="00164A3E"/>
    <w:rsid w:val="00166FF6"/>
    <w:rsid w:val="00172C77"/>
    <w:rsid w:val="00175719"/>
    <w:rsid w:val="00176123"/>
    <w:rsid w:val="00181620"/>
    <w:rsid w:val="001823C8"/>
    <w:rsid w:val="001852AF"/>
    <w:rsid w:val="00191CC1"/>
    <w:rsid w:val="001957AD"/>
    <w:rsid w:val="001A21F0"/>
    <w:rsid w:val="001A2B7F"/>
    <w:rsid w:val="001A3AFD"/>
    <w:rsid w:val="001A496C"/>
    <w:rsid w:val="001A6304"/>
    <w:rsid w:val="001B0D00"/>
    <w:rsid w:val="001B2B6C"/>
    <w:rsid w:val="001C0936"/>
    <w:rsid w:val="001C3C59"/>
    <w:rsid w:val="001D01C4"/>
    <w:rsid w:val="001D52B0"/>
    <w:rsid w:val="001D5A18"/>
    <w:rsid w:val="001D7CA4"/>
    <w:rsid w:val="001E057F"/>
    <w:rsid w:val="001E14EB"/>
    <w:rsid w:val="001E1982"/>
    <w:rsid w:val="001F2879"/>
    <w:rsid w:val="001F4A22"/>
    <w:rsid w:val="001F59E6"/>
    <w:rsid w:val="00200069"/>
    <w:rsid w:val="00202014"/>
    <w:rsid w:val="00205D25"/>
    <w:rsid w:val="00206936"/>
    <w:rsid w:val="00206C6F"/>
    <w:rsid w:val="00206FBD"/>
    <w:rsid w:val="00207746"/>
    <w:rsid w:val="00212456"/>
    <w:rsid w:val="002177A2"/>
    <w:rsid w:val="00221220"/>
    <w:rsid w:val="00230031"/>
    <w:rsid w:val="00235C01"/>
    <w:rsid w:val="00236878"/>
    <w:rsid w:val="00245DD0"/>
    <w:rsid w:val="00247125"/>
    <w:rsid w:val="00247343"/>
    <w:rsid w:val="00263A76"/>
    <w:rsid w:val="00265C56"/>
    <w:rsid w:val="00265EB7"/>
    <w:rsid w:val="00266999"/>
    <w:rsid w:val="002716CD"/>
    <w:rsid w:val="00274D4B"/>
    <w:rsid w:val="00276290"/>
    <w:rsid w:val="002806F5"/>
    <w:rsid w:val="00281577"/>
    <w:rsid w:val="002926BC"/>
    <w:rsid w:val="00293A72"/>
    <w:rsid w:val="002A0160"/>
    <w:rsid w:val="002A30C3"/>
    <w:rsid w:val="002A6F6A"/>
    <w:rsid w:val="002A7712"/>
    <w:rsid w:val="002B38F7"/>
    <w:rsid w:val="002B5591"/>
    <w:rsid w:val="002B6AA4"/>
    <w:rsid w:val="002C1FE9"/>
    <w:rsid w:val="002D3A57"/>
    <w:rsid w:val="002D7D05"/>
    <w:rsid w:val="002E20C8"/>
    <w:rsid w:val="002E4290"/>
    <w:rsid w:val="002E5B94"/>
    <w:rsid w:val="002E66A6"/>
    <w:rsid w:val="002F0DB1"/>
    <w:rsid w:val="002F2885"/>
    <w:rsid w:val="002F3CF1"/>
    <w:rsid w:val="002F45A1"/>
    <w:rsid w:val="00302F7D"/>
    <w:rsid w:val="003037F9"/>
    <w:rsid w:val="00304B3C"/>
    <w:rsid w:val="0030583E"/>
    <w:rsid w:val="00307FE1"/>
    <w:rsid w:val="003164BA"/>
    <w:rsid w:val="003223FE"/>
    <w:rsid w:val="003258E6"/>
    <w:rsid w:val="00342283"/>
    <w:rsid w:val="00343A87"/>
    <w:rsid w:val="00344A36"/>
    <w:rsid w:val="003456F4"/>
    <w:rsid w:val="00347FB6"/>
    <w:rsid w:val="003504FD"/>
    <w:rsid w:val="00350881"/>
    <w:rsid w:val="00356402"/>
    <w:rsid w:val="00357D55"/>
    <w:rsid w:val="00363513"/>
    <w:rsid w:val="003657E5"/>
    <w:rsid w:val="0036589C"/>
    <w:rsid w:val="00371312"/>
    <w:rsid w:val="00371DC7"/>
    <w:rsid w:val="00374DC7"/>
    <w:rsid w:val="003765C6"/>
    <w:rsid w:val="003767C4"/>
    <w:rsid w:val="00376BF0"/>
    <w:rsid w:val="00377B21"/>
    <w:rsid w:val="003812ED"/>
    <w:rsid w:val="00381712"/>
    <w:rsid w:val="00382BE1"/>
    <w:rsid w:val="00384AD4"/>
    <w:rsid w:val="003868EF"/>
    <w:rsid w:val="00386F63"/>
    <w:rsid w:val="00390CE3"/>
    <w:rsid w:val="00394876"/>
    <w:rsid w:val="00394AAF"/>
    <w:rsid w:val="00394CE5"/>
    <w:rsid w:val="003A6341"/>
    <w:rsid w:val="003B173F"/>
    <w:rsid w:val="003B67FD"/>
    <w:rsid w:val="003B6A61"/>
    <w:rsid w:val="003C44F2"/>
    <w:rsid w:val="003C6F3E"/>
    <w:rsid w:val="003D42C0"/>
    <w:rsid w:val="003D5B29"/>
    <w:rsid w:val="003D6EDD"/>
    <w:rsid w:val="003D7818"/>
    <w:rsid w:val="003E2445"/>
    <w:rsid w:val="003E3BB2"/>
    <w:rsid w:val="003F1A36"/>
    <w:rsid w:val="003F5B58"/>
    <w:rsid w:val="004014E9"/>
    <w:rsid w:val="00401606"/>
    <w:rsid w:val="0040222A"/>
    <w:rsid w:val="004047BC"/>
    <w:rsid w:val="00406497"/>
    <w:rsid w:val="00406EE5"/>
    <w:rsid w:val="004100F7"/>
    <w:rsid w:val="00414CB3"/>
    <w:rsid w:val="0041563D"/>
    <w:rsid w:val="00420CF5"/>
    <w:rsid w:val="00422874"/>
    <w:rsid w:val="00426E25"/>
    <w:rsid w:val="00427D9C"/>
    <w:rsid w:val="00427E7E"/>
    <w:rsid w:val="00430EAF"/>
    <w:rsid w:val="00434620"/>
    <w:rsid w:val="004433AE"/>
    <w:rsid w:val="00443B6E"/>
    <w:rsid w:val="004521CB"/>
    <w:rsid w:val="0045420A"/>
    <w:rsid w:val="004554D4"/>
    <w:rsid w:val="00461744"/>
    <w:rsid w:val="00466185"/>
    <w:rsid w:val="004668A7"/>
    <w:rsid w:val="00466D96"/>
    <w:rsid w:val="00467747"/>
    <w:rsid w:val="00473C98"/>
    <w:rsid w:val="00474965"/>
    <w:rsid w:val="00481204"/>
    <w:rsid w:val="00482DF8"/>
    <w:rsid w:val="004864DE"/>
    <w:rsid w:val="00487E53"/>
    <w:rsid w:val="004933F4"/>
    <w:rsid w:val="00494BE5"/>
    <w:rsid w:val="004A0EBA"/>
    <w:rsid w:val="004A2538"/>
    <w:rsid w:val="004A6789"/>
    <w:rsid w:val="004B0C15"/>
    <w:rsid w:val="004B2017"/>
    <w:rsid w:val="004B35EA"/>
    <w:rsid w:val="004B69E4"/>
    <w:rsid w:val="004B7373"/>
    <w:rsid w:val="004C2BF4"/>
    <w:rsid w:val="004C6C39"/>
    <w:rsid w:val="004D075F"/>
    <w:rsid w:val="004D1B76"/>
    <w:rsid w:val="004D344E"/>
    <w:rsid w:val="004D6791"/>
    <w:rsid w:val="004E019E"/>
    <w:rsid w:val="004E06EC"/>
    <w:rsid w:val="004E2CB7"/>
    <w:rsid w:val="004F016A"/>
    <w:rsid w:val="004F2206"/>
    <w:rsid w:val="00500F94"/>
    <w:rsid w:val="00502FB3"/>
    <w:rsid w:val="00503DE9"/>
    <w:rsid w:val="0050530C"/>
    <w:rsid w:val="00505DEA"/>
    <w:rsid w:val="00507782"/>
    <w:rsid w:val="00512A04"/>
    <w:rsid w:val="00512C0D"/>
    <w:rsid w:val="005249F5"/>
    <w:rsid w:val="005260F7"/>
    <w:rsid w:val="005314DB"/>
    <w:rsid w:val="00532D48"/>
    <w:rsid w:val="00543BD1"/>
    <w:rsid w:val="00546D7E"/>
    <w:rsid w:val="00554706"/>
    <w:rsid w:val="00556113"/>
    <w:rsid w:val="00564C12"/>
    <w:rsid w:val="005654B8"/>
    <w:rsid w:val="0057377F"/>
    <w:rsid w:val="005762CC"/>
    <w:rsid w:val="00582D3D"/>
    <w:rsid w:val="00582E5F"/>
    <w:rsid w:val="00595386"/>
    <w:rsid w:val="005A3103"/>
    <w:rsid w:val="005A3621"/>
    <w:rsid w:val="005A4AC0"/>
    <w:rsid w:val="005A5FDF"/>
    <w:rsid w:val="005B0FB7"/>
    <w:rsid w:val="005B122A"/>
    <w:rsid w:val="005B28BD"/>
    <w:rsid w:val="005B5AC2"/>
    <w:rsid w:val="005C1D3E"/>
    <w:rsid w:val="005C2833"/>
    <w:rsid w:val="005C2C0C"/>
    <w:rsid w:val="005C64FB"/>
    <w:rsid w:val="005E144D"/>
    <w:rsid w:val="005E1500"/>
    <w:rsid w:val="005E2CE6"/>
    <w:rsid w:val="005E3A43"/>
    <w:rsid w:val="005E51A4"/>
    <w:rsid w:val="005F77C7"/>
    <w:rsid w:val="0060030B"/>
    <w:rsid w:val="00613595"/>
    <w:rsid w:val="00620675"/>
    <w:rsid w:val="00622910"/>
    <w:rsid w:val="006433C3"/>
    <w:rsid w:val="00650F5B"/>
    <w:rsid w:val="00652DC0"/>
    <w:rsid w:val="00653E4B"/>
    <w:rsid w:val="00660584"/>
    <w:rsid w:val="00664B19"/>
    <w:rsid w:val="006670D7"/>
    <w:rsid w:val="00670CDB"/>
    <w:rsid w:val="006719EA"/>
    <w:rsid w:val="00671F13"/>
    <w:rsid w:val="0067400A"/>
    <w:rsid w:val="006747E0"/>
    <w:rsid w:val="006776D1"/>
    <w:rsid w:val="006847AD"/>
    <w:rsid w:val="00690862"/>
    <w:rsid w:val="00690B7D"/>
    <w:rsid w:val="0069114B"/>
    <w:rsid w:val="006A6B22"/>
    <w:rsid w:val="006A756A"/>
    <w:rsid w:val="006B3482"/>
    <w:rsid w:val="006C396A"/>
    <w:rsid w:val="006D1ADA"/>
    <w:rsid w:val="006D66F7"/>
    <w:rsid w:val="006E3B5D"/>
    <w:rsid w:val="00702D61"/>
    <w:rsid w:val="00705C9D"/>
    <w:rsid w:val="00705F13"/>
    <w:rsid w:val="0070792E"/>
    <w:rsid w:val="00714F1D"/>
    <w:rsid w:val="00715225"/>
    <w:rsid w:val="00720CC6"/>
    <w:rsid w:val="00722DDB"/>
    <w:rsid w:val="00722DF0"/>
    <w:rsid w:val="00724728"/>
    <w:rsid w:val="00724F98"/>
    <w:rsid w:val="00730B9B"/>
    <w:rsid w:val="00731408"/>
    <w:rsid w:val="0073182E"/>
    <w:rsid w:val="0073224C"/>
    <w:rsid w:val="007332FF"/>
    <w:rsid w:val="007372B0"/>
    <w:rsid w:val="007408F5"/>
    <w:rsid w:val="00741EAE"/>
    <w:rsid w:val="00745255"/>
    <w:rsid w:val="00752FD2"/>
    <w:rsid w:val="00755248"/>
    <w:rsid w:val="0076190B"/>
    <w:rsid w:val="0076327E"/>
    <w:rsid w:val="007634EF"/>
    <w:rsid w:val="0076355D"/>
    <w:rsid w:val="00763A2D"/>
    <w:rsid w:val="007711DB"/>
    <w:rsid w:val="00774335"/>
    <w:rsid w:val="007761D8"/>
    <w:rsid w:val="00777795"/>
    <w:rsid w:val="00783A57"/>
    <w:rsid w:val="00784105"/>
    <w:rsid w:val="00784C92"/>
    <w:rsid w:val="007859CD"/>
    <w:rsid w:val="007907E4"/>
    <w:rsid w:val="00796461"/>
    <w:rsid w:val="007A6A4F"/>
    <w:rsid w:val="007B03F5"/>
    <w:rsid w:val="007B59D3"/>
    <w:rsid w:val="007B5C09"/>
    <w:rsid w:val="007B5DA2"/>
    <w:rsid w:val="007C0966"/>
    <w:rsid w:val="007C19E7"/>
    <w:rsid w:val="007C5CFD"/>
    <w:rsid w:val="007C6D9F"/>
    <w:rsid w:val="007D4893"/>
    <w:rsid w:val="007D7697"/>
    <w:rsid w:val="007E16C5"/>
    <w:rsid w:val="007E5CFF"/>
    <w:rsid w:val="007E69F5"/>
    <w:rsid w:val="007E6DF7"/>
    <w:rsid w:val="007E70CF"/>
    <w:rsid w:val="007E74A4"/>
    <w:rsid w:val="007F263F"/>
    <w:rsid w:val="007F46EA"/>
    <w:rsid w:val="007F5579"/>
    <w:rsid w:val="008002E8"/>
    <w:rsid w:val="00804B08"/>
    <w:rsid w:val="0080766E"/>
    <w:rsid w:val="008105BE"/>
    <w:rsid w:val="00811169"/>
    <w:rsid w:val="008126F4"/>
    <w:rsid w:val="00815297"/>
    <w:rsid w:val="00817BA1"/>
    <w:rsid w:val="00823022"/>
    <w:rsid w:val="0082634E"/>
    <w:rsid w:val="0082717F"/>
    <w:rsid w:val="008313C4"/>
    <w:rsid w:val="00835434"/>
    <w:rsid w:val="008358C0"/>
    <w:rsid w:val="00842838"/>
    <w:rsid w:val="008458AE"/>
    <w:rsid w:val="008475C4"/>
    <w:rsid w:val="00850F8B"/>
    <w:rsid w:val="00854EC1"/>
    <w:rsid w:val="0085797F"/>
    <w:rsid w:val="00860804"/>
    <w:rsid w:val="00861749"/>
    <w:rsid w:val="00861DC3"/>
    <w:rsid w:val="00866364"/>
    <w:rsid w:val="00867019"/>
    <w:rsid w:val="008735A9"/>
    <w:rsid w:val="00877D20"/>
    <w:rsid w:val="00881C48"/>
    <w:rsid w:val="00885590"/>
    <w:rsid w:val="00885B80"/>
    <w:rsid w:val="00885C30"/>
    <w:rsid w:val="00885E9B"/>
    <w:rsid w:val="00886C9D"/>
    <w:rsid w:val="00892A6A"/>
    <w:rsid w:val="00893C96"/>
    <w:rsid w:val="0089500A"/>
    <w:rsid w:val="00897C94"/>
    <w:rsid w:val="008A08C9"/>
    <w:rsid w:val="008A51A3"/>
    <w:rsid w:val="008A7C12"/>
    <w:rsid w:val="008B03CE"/>
    <w:rsid w:val="008B529E"/>
    <w:rsid w:val="008B7C3D"/>
    <w:rsid w:val="008C17FB"/>
    <w:rsid w:val="008C3A43"/>
    <w:rsid w:val="008C41D4"/>
    <w:rsid w:val="008D1B00"/>
    <w:rsid w:val="008D2631"/>
    <w:rsid w:val="008D57B8"/>
    <w:rsid w:val="008E0345"/>
    <w:rsid w:val="008E03FC"/>
    <w:rsid w:val="008E3DE3"/>
    <w:rsid w:val="008E510B"/>
    <w:rsid w:val="00902B13"/>
    <w:rsid w:val="009044CD"/>
    <w:rsid w:val="00911941"/>
    <w:rsid w:val="009138A0"/>
    <w:rsid w:val="00916E09"/>
    <w:rsid w:val="00925F0F"/>
    <w:rsid w:val="00930C91"/>
    <w:rsid w:val="00932F6B"/>
    <w:rsid w:val="009359FF"/>
    <w:rsid w:val="009436FF"/>
    <w:rsid w:val="009468BC"/>
    <w:rsid w:val="00947AD3"/>
    <w:rsid w:val="00950B1B"/>
    <w:rsid w:val="0095631B"/>
    <w:rsid w:val="009616DF"/>
    <w:rsid w:val="00964B22"/>
    <w:rsid w:val="0096542F"/>
    <w:rsid w:val="00967625"/>
    <w:rsid w:val="00967FA7"/>
    <w:rsid w:val="00971645"/>
    <w:rsid w:val="00977919"/>
    <w:rsid w:val="00982F42"/>
    <w:rsid w:val="00983000"/>
    <w:rsid w:val="009870FA"/>
    <w:rsid w:val="009921C3"/>
    <w:rsid w:val="0099551D"/>
    <w:rsid w:val="009A1096"/>
    <w:rsid w:val="009A5897"/>
    <w:rsid w:val="009A5F24"/>
    <w:rsid w:val="009B0B3E"/>
    <w:rsid w:val="009B1913"/>
    <w:rsid w:val="009B4682"/>
    <w:rsid w:val="009B6657"/>
    <w:rsid w:val="009B7C35"/>
    <w:rsid w:val="009C198E"/>
    <w:rsid w:val="009C21F1"/>
    <w:rsid w:val="009C4F61"/>
    <w:rsid w:val="009C59C7"/>
    <w:rsid w:val="009D0EB5"/>
    <w:rsid w:val="009D14F9"/>
    <w:rsid w:val="009D2B74"/>
    <w:rsid w:val="009D63FF"/>
    <w:rsid w:val="009E175D"/>
    <w:rsid w:val="009E3CC2"/>
    <w:rsid w:val="009F06BD"/>
    <w:rsid w:val="009F2A4D"/>
    <w:rsid w:val="009F3302"/>
    <w:rsid w:val="00A00828"/>
    <w:rsid w:val="00A00AEC"/>
    <w:rsid w:val="00A03290"/>
    <w:rsid w:val="00A07490"/>
    <w:rsid w:val="00A10655"/>
    <w:rsid w:val="00A1197C"/>
    <w:rsid w:val="00A12B64"/>
    <w:rsid w:val="00A22C38"/>
    <w:rsid w:val="00A25193"/>
    <w:rsid w:val="00A25F14"/>
    <w:rsid w:val="00A26E80"/>
    <w:rsid w:val="00A30716"/>
    <w:rsid w:val="00A31AE8"/>
    <w:rsid w:val="00A3739D"/>
    <w:rsid w:val="00A37DDA"/>
    <w:rsid w:val="00A37ED8"/>
    <w:rsid w:val="00A45810"/>
    <w:rsid w:val="00A4662A"/>
    <w:rsid w:val="00A8735E"/>
    <w:rsid w:val="00A925EC"/>
    <w:rsid w:val="00A929AA"/>
    <w:rsid w:val="00A92B6B"/>
    <w:rsid w:val="00A955A9"/>
    <w:rsid w:val="00A96F78"/>
    <w:rsid w:val="00AA1F00"/>
    <w:rsid w:val="00AA541E"/>
    <w:rsid w:val="00AC2A62"/>
    <w:rsid w:val="00AC335D"/>
    <w:rsid w:val="00AD0DA4"/>
    <w:rsid w:val="00AD4169"/>
    <w:rsid w:val="00AE25C6"/>
    <w:rsid w:val="00AE306C"/>
    <w:rsid w:val="00AF28C1"/>
    <w:rsid w:val="00AF3B49"/>
    <w:rsid w:val="00B02EF1"/>
    <w:rsid w:val="00B07C97"/>
    <w:rsid w:val="00B07EA1"/>
    <w:rsid w:val="00B11C67"/>
    <w:rsid w:val="00B15754"/>
    <w:rsid w:val="00B15A27"/>
    <w:rsid w:val="00B166C9"/>
    <w:rsid w:val="00B2046E"/>
    <w:rsid w:val="00B20E8B"/>
    <w:rsid w:val="00B257E1"/>
    <w:rsid w:val="00B2599A"/>
    <w:rsid w:val="00B27AC4"/>
    <w:rsid w:val="00B343CC"/>
    <w:rsid w:val="00B43C75"/>
    <w:rsid w:val="00B47ABC"/>
    <w:rsid w:val="00B5084A"/>
    <w:rsid w:val="00B510C9"/>
    <w:rsid w:val="00B606A1"/>
    <w:rsid w:val="00B614F7"/>
    <w:rsid w:val="00B61B26"/>
    <w:rsid w:val="00B675B2"/>
    <w:rsid w:val="00B67B49"/>
    <w:rsid w:val="00B81261"/>
    <w:rsid w:val="00B8223E"/>
    <w:rsid w:val="00B82C20"/>
    <w:rsid w:val="00B832AE"/>
    <w:rsid w:val="00B83E5C"/>
    <w:rsid w:val="00B8521E"/>
    <w:rsid w:val="00B86678"/>
    <w:rsid w:val="00B92F9B"/>
    <w:rsid w:val="00B941B3"/>
    <w:rsid w:val="00B96513"/>
    <w:rsid w:val="00BA1D47"/>
    <w:rsid w:val="00BA4298"/>
    <w:rsid w:val="00BA66F0"/>
    <w:rsid w:val="00BB2239"/>
    <w:rsid w:val="00BB2AE7"/>
    <w:rsid w:val="00BB34A8"/>
    <w:rsid w:val="00BB6464"/>
    <w:rsid w:val="00BC1BB8"/>
    <w:rsid w:val="00BD21DF"/>
    <w:rsid w:val="00BD7156"/>
    <w:rsid w:val="00BD7FE1"/>
    <w:rsid w:val="00BE37CA"/>
    <w:rsid w:val="00BE6144"/>
    <w:rsid w:val="00BE635A"/>
    <w:rsid w:val="00BF17E9"/>
    <w:rsid w:val="00BF2ABB"/>
    <w:rsid w:val="00BF5099"/>
    <w:rsid w:val="00BF5345"/>
    <w:rsid w:val="00C10F10"/>
    <w:rsid w:val="00C117C2"/>
    <w:rsid w:val="00C15D4D"/>
    <w:rsid w:val="00C175DC"/>
    <w:rsid w:val="00C25362"/>
    <w:rsid w:val="00C30171"/>
    <w:rsid w:val="00C309D8"/>
    <w:rsid w:val="00C43519"/>
    <w:rsid w:val="00C50F78"/>
    <w:rsid w:val="00C51537"/>
    <w:rsid w:val="00C52BC3"/>
    <w:rsid w:val="00C57D1C"/>
    <w:rsid w:val="00C61AFA"/>
    <w:rsid w:val="00C61D64"/>
    <w:rsid w:val="00C62099"/>
    <w:rsid w:val="00C647FC"/>
    <w:rsid w:val="00C64EA3"/>
    <w:rsid w:val="00C654E0"/>
    <w:rsid w:val="00C72867"/>
    <w:rsid w:val="00C75E81"/>
    <w:rsid w:val="00C75F52"/>
    <w:rsid w:val="00C76EA1"/>
    <w:rsid w:val="00C800F1"/>
    <w:rsid w:val="00C86533"/>
    <w:rsid w:val="00C86609"/>
    <w:rsid w:val="00C92B4C"/>
    <w:rsid w:val="00C954F6"/>
    <w:rsid w:val="00CA6BC5"/>
    <w:rsid w:val="00CA7486"/>
    <w:rsid w:val="00CB3D3A"/>
    <w:rsid w:val="00CC61CD"/>
    <w:rsid w:val="00CD297C"/>
    <w:rsid w:val="00CD5011"/>
    <w:rsid w:val="00CE134E"/>
    <w:rsid w:val="00CE4F22"/>
    <w:rsid w:val="00CE640F"/>
    <w:rsid w:val="00CE76BC"/>
    <w:rsid w:val="00CF540E"/>
    <w:rsid w:val="00D02F07"/>
    <w:rsid w:val="00D23346"/>
    <w:rsid w:val="00D27EBE"/>
    <w:rsid w:val="00D34BB6"/>
    <w:rsid w:val="00D36A49"/>
    <w:rsid w:val="00D517C6"/>
    <w:rsid w:val="00D5191F"/>
    <w:rsid w:val="00D64806"/>
    <w:rsid w:val="00D70924"/>
    <w:rsid w:val="00D71D84"/>
    <w:rsid w:val="00D72464"/>
    <w:rsid w:val="00D75965"/>
    <w:rsid w:val="00D75A4F"/>
    <w:rsid w:val="00D768EB"/>
    <w:rsid w:val="00D777CC"/>
    <w:rsid w:val="00D82D1E"/>
    <w:rsid w:val="00D832D9"/>
    <w:rsid w:val="00D90F00"/>
    <w:rsid w:val="00D914A6"/>
    <w:rsid w:val="00D932A8"/>
    <w:rsid w:val="00D94F6B"/>
    <w:rsid w:val="00D975C0"/>
    <w:rsid w:val="00DA10BD"/>
    <w:rsid w:val="00DA5285"/>
    <w:rsid w:val="00DB191D"/>
    <w:rsid w:val="00DB4F91"/>
    <w:rsid w:val="00DB5BBC"/>
    <w:rsid w:val="00DB7EB7"/>
    <w:rsid w:val="00DC1EF7"/>
    <w:rsid w:val="00DC1F0F"/>
    <w:rsid w:val="00DC3117"/>
    <w:rsid w:val="00DC5DD9"/>
    <w:rsid w:val="00DC6D2D"/>
    <w:rsid w:val="00DD493B"/>
    <w:rsid w:val="00DD64C2"/>
    <w:rsid w:val="00DE33B5"/>
    <w:rsid w:val="00DE5E18"/>
    <w:rsid w:val="00DE6B31"/>
    <w:rsid w:val="00DE6E01"/>
    <w:rsid w:val="00DF0487"/>
    <w:rsid w:val="00DF5164"/>
    <w:rsid w:val="00DF5EA4"/>
    <w:rsid w:val="00E02681"/>
    <w:rsid w:val="00E02792"/>
    <w:rsid w:val="00E034D8"/>
    <w:rsid w:val="00E04CC0"/>
    <w:rsid w:val="00E06F49"/>
    <w:rsid w:val="00E15816"/>
    <w:rsid w:val="00E160D5"/>
    <w:rsid w:val="00E239FF"/>
    <w:rsid w:val="00E27D7B"/>
    <w:rsid w:val="00E30556"/>
    <w:rsid w:val="00E30981"/>
    <w:rsid w:val="00E33136"/>
    <w:rsid w:val="00E34D7C"/>
    <w:rsid w:val="00E36C7E"/>
    <w:rsid w:val="00E3723D"/>
    <w:rsid w:val="00E436A4"/>
    <w:rsid w:val="00E4431A"/>
    <w:rsid w:val="00E44C89"/>
    <w:rsid w:val="00E470F6"/>
    <w:rsid w:val="00E61BA2"/>
    <w:rsid w:val="00E63864"/>
    <w:rsid w:val="00E6403F"/>
    <w:rsid w:val="00E64725"/>
    <w:rsid w:val="00E757FF"/>
    <w:rsid w:val="00E770C4"/>
    <w:rsid w:val="00E84C5A"/>
    <w:rsid w:val="00E861DB"/>
    <w:rsid w:val="00E93406"/>
    <w:rsid w:val="00E956C5"/>
    <w:rsid w:val="00E9579A"/>
    <w:rsid w:val="00E95C39"/>
    <w:rsid w:val="00EA2C39"/>
    <w:rsid w:val="00EA3699"/>
    <w:rsid w:val="00EA3BC2"/>
    <w:rsid w:val="00EB0A3C"/>
    <w:rsid w:val="00EB0A96"/>
    <w:rsid w:val="00EB77F9"/>
    <w:rsid w:val="00EC5769"/>
    <w:rsid w:val="00EC7D00"/>
    <w:rsid w:val="00ED0304"/>
    <w:rsid w:val="00ED087C"/>
    <w:rsid w:val="00EE38FA"/>
    <w:rsid w:val="00EE3E2C"/>
    <w:rsid w:val="00EE5D23"/>
    <w:rsid w:val="00EE750D"/>
    <w:rsid w:val="00EF3CA4"/>
    <w:rsid w:val="00EF5E1F"/>
    <w:rsid w:val="00EF64CE"/>
    <w:rsid w:val="00EF7859"/>
    <w:rsid w:val="00F014DA"/>
    <w:rsid w:val="00F02591"/>
    <w:rsid w:val="00F06E9E"/>
    <w:rsid w:val="00F14273"/>
    <w:rsid w:val="00F17321"/>
    <w:rsid w:val="00F202AA"/>
    <w:rsid w:val="00F42C62"/>
    <w:rsid w:val="00F47483"/>
    <w:rsid w:val="00F53634"/>
    <w:rsid w:val="00F5696E"/>
    <w:rsid w:val="00F60EFF"/>
    <w:rsid w:val="00F67D2D"/>
    <w:rsid w:val="00F82087"/>
    <w:rsid w:val="00F860CC"/>
    <w:rsid w:val="00F90858"/>
    <w:rsid w:val="00F94398"/>
    <w:rsid w:val="00FA14B3"/>
    <w:rsid w:val="00FA4629"/>
    <w:rsid w:val="00FB0845"/>
    <w:rsid w:val="00FB2B56"/>
    <w:rsid w:val="00FB4E3A"/>
    <w:rsid w:val="00FC12BF"/>
    <w:rsid w:val="00FC1A7C"/>
    <w:rsid w:val="00FC2C60"/>
    <w:rsid w:val="00FC64AB"/>
    <w:rsid w:val="00FD3E6F"/>
    <w:rsid w:val="00FD51B9"/>
    <w:rsid w:val="00FE2636"/>
    <w:rsid w:val="00FE2A39"/>
    <w:rsid w:val="00FE2EF6"/>
    <w:rsid w:val="00FE47F5"/>
    <w:rsid w:val="00FE6583"/>
    <w:rsid w:val="00FE6899"/>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9FA399A"/>
  <w15:docId w15:val="{4A1BA581-8F27-4262-9658-9E550BEE7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4"/>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4"/>
    <w:lsdException w:name="List Bullet 3" w:uiPriority="4"/>
    <w:lsdException w:name="List Bullet 4" w:uiPriority="4"/>
    <w:lsdException w:name="List Bullet 5" w:uiPriority="4"/>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A43"/>
    <w:rPr>
      <w:rFonts w:ascii="Lato" w:hAnsi="Lato"/>
    </w:rPr>
  </w:style>
  <w:style w:type="paragraph" w:styleId="Heading1">
    <w:name w:val="heading 1"/>
    <w:basedOn w:val="Normal"/>
    <w:next w:val="Normal"/>
    <w:link w:val="Heading1Char"/>
    <w:uiPriority w:val="2"/>
    <w:qFormat/>
    <w:rsid w:val="001C3C59"/>
    <w:pPr>
      <w:numPr>
        <w:numId w:val="11"/>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uiPriority w:val="2"/>
    <w:qFormat/>
    <w:rsid w:val="005314DB"/>
    <w:pPr>
      <w:spacing w:before="24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uiPriority w:val="2"/>
    <w:qFormat/>
    <w:rsid w:val="005314DB"/>
    <w:pPr>
      <w:spacing w:before="240"/>
      <w:outlineLvl w:val="2"/>
    </w:pPr>
    <w:rPr>
      <w:rFonts w:asciiTheme="majorHAnsi" w:hAnsiTheme="majorHAnsi" w:cs="Arial"/>
      <w:bCs/>
      <w:color w:val="1F1F5F" w:themeColor="text1"/>
      <w:sz w:val="28"/>
      <w:szCs w:val="28"/>
    </w:rPr>
  </w:style>
  <w:style w:type="paragraph" w:styleId="Heading4">
    <w:name w:val="heading 4"/>
    <w:basedOn w:val="Normal"/>
    <w:next w:val="Normal"/>
    <w:link w:val="Heading4Char"/>
    <w:uiPriority w:val="2"/>
    <w:qFormat/>
    <w:rsid w:val="001C3C59"/>
    <w:pPr>
      <w:numPr>
        <w:ilvl w:val="3"/>
        <w:numId w:val="11"/>
      </w:num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2"/>
    <w:semiHidden/>
    <w:rsid w:val="001C3C59"/>
    <w:pPr>
      <w:numPr>
        <w:ilvl w:val="4"/>
        <w:numId w:val="11"/>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1C3C59"/>
    <w:pPr>
      <w:numPr>
        <w:ilvl w:val="5"/>
        <w:numId w:val="11"/>
      </w:numPr>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1C3C59"/>
    <w:pPr>
      <w:numPr>
        <w:ilvl w:val="6"/>
        <w:numId w:val="11"/>
      </w:numPr>
      <w:outlineLvl w:val="6"/>
    </w:pPr>
    <w:rPr>
      <w:rFonts w:asciiTheme="majorHAnsi" w:hAnsiTheme="majorHAnsi"/>
      <w:color w:val="1F1F5F" w:themeColor="text1"/>
      <w:lang w:eastAsia="en-AU"/>
    </w:rPr>
  </w:style>
  <w:style w:type="paragraph" w:styleId="Heading8">
    <w:name w:val="heading 8"/>
    <w:basedOn w:val="Normal"/>
    <w:next w:val="Normal"/>
    <w:link w:val="Heading8Char"/>
    <w:uiPriority w:val="2"/>
    <w:semiHidden/>
    <w:rsid w:val="001C3C59"/>
    <w:pPr>
      <w:numPr>
        <w:ilvl w:val="7"/>
        <w:numId w:val="11"/>
      </w:numPr>
      <w:outlineLvl w:val="7"/>
    </w:pPr>
    <w:rPr>
      <w:rFonts w:asciiTheme="majorHAnsi" w:hAnsiTheme="majorHAnsi"/>
      <w:color w:val="606060"/>
      <w:lang w:eastAsia="en-AU"/>
    </w:rPr>
  </w:style>
  <w:style w:type="paragraph" w:styleId="Heading9">
    <w:name w:val="heading 9"/>
    <w:basedOn w:val="Normal"/>
    <w:next w:val="Normal"/>
    <w:link w:val="Heading9Char"/>
    <w:uiPriority w:val="2"/>
    <w:semiHidden/>
    <w:rsid w:val="001C3C59"/>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04FD"/>
  </w:style>
  <w:style w:type="character" w:customStyle="1" w:styleId="Heading1Char">
    <w:name w:val="Heading 1 Char"/>
    <w:basedOn w:val="DefaultParagraphFont"/>
    <w:link w:val="Heading1"/>
    <w:uiPriority w:val="2"/>
    <w:rsid w:val="00774335"/>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uiPriority w:val="2"/>
    <w:rsid w:val="005314DB"/>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5314DB"/>
    <w:rPr>
      <w:rFonts w:asciiTheme="majorHAnsi" w:hAnsiTheme="majorHAnsi" w:cs="Arial"/>
      <w:bCs/>
      <w:color w:val="1F1F5F" w:themeColor="text1"/>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7634EF"/>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2"/>
    <w:rsid w:val="0082717F"/>
    <w:rPr>
      <w:rFonts w:asciiTheme="majorHAnsi" w:eastAsiaTheme="majorEastAsia" w:hAnsiTheme="majorHAnsi" w:cstheme="majorBidi"/>
      <w:bCs/>
      <w:iCs/>
      <w:color w:val="454347"/>
      <w:sz w:val="24"/>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link w:val="ListParagraphChar"/>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8C3A43"/>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8C3A43"/>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8C3A43"/>
    <w:rPr>
      <w:rFonts w:asciiTheme="majorHAnsi" w:hAnsiTheme="majorHAnsi"/>
      <w:color w:val="1F1F5F" w:themeColor="text1"/>
      <w:lang w:eastAsia="en-AU"/>
    </w:rPr>
  </w:style>
  <w:style w:type="character" w:customStyle="1" w:styleId="Heading8Char">
    <w:name w:val="Heading 8 Char"/>
    <w:basedOn w:val="DefaultParagraphFont"/>
    <w:link w:val="Heading8"/>
    <w:uiPriority w:val="2"/>
    <w:semiHidden/>
    <w:rsid w:val="008C3A43"/>
    <w:rPr>
      <w:rFonts w:asciiTheme="majorHAnsi" w:hAnsiTheme="majorHAnsi"/>
      <w:color w:val="606060"/>
      <w:lang w:eastAsia="en-AU"/>
    </w:rPr>
  </w:style>
  <w:style w:type="character" w:customStyle="1" w:styleId="Heading9Char">
    <w:name w:val="Heading 9 Char"/>
    <w:basedOn w:val="DefaultParagraphFont"/>
    <w:link w:val="Heading9"/>
    <w:uiPriority w:val="2"/>
    <w:semiHidden/>
    <w:rsid w:val="008C3A43"/>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386F63"/>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sz w:val="22"/>
      </w:rPr>
      <w:tblPr/>
      <w:trPr>
        <w:tblHeader/>
      </w:tr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sz w:val="22"/>
      </w:rPr>
    </w:tblStylePr>
    <w:tblStylePr w:type="band2Vert">
      <w:rPr>
        <w:sz w:val="22"/>
      </w:rPr>
    </w:tblStylePr>
    <w:tblStylePr w:type="band1Horz">
      <w:rPr>
        <w:sz w:val="22"/>
      </w:rPr>
    </w:tblStylePr>
    <w:tblStylePr w:type="band2Horz">
      <w:rPr>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basedOn w:val="Normal"/>
    <w:link w:val="FootnoteTextChar"/>
    <w:uiPriority w:val="99"/>
    <w:semiHidden/>
    <w:unhideWhenUsed/>
    <w:rsid w:val="008D2631"/>
    <w:pPr>
      <w:spacing w:after="0"/>
    </w:pPr>
    <w:rPr>
      <w:sz w:val="20"/>
      <w:szCs w:val="20"/>
    </w:rPr>
  </w:style>
  <w:style w:type="character" w:customStyle="1" w:styleId="FootnoteTextChar">
    <w:name w:val="Footnote Text Char"/>
    <w:basedOn w:val="DefaultParagraphFont"/>
    <w:link w:val="FootnoteText"/>
    <w:uiPriority w:val="99"/>
    <w:semiHidden/>
    <w:rsid w:val="008D2631"/>
    <w:rPr>
      <w:rFonts w:ascii="Lato" w:hAnsi="Lato"/>
      <w:sz w:val="20"/>
      <w:szCs w:val="20"/>
    </w:rPr>
  </w:style>
  <w:style w:type="character" w:styleId="FootnoteReference">
    <w:name w:val="footnote reference"/>
    <w:basedOn w:val="DefaultParagraphFont"/>
    <w:uiPriority w:val="99"/>
    <w:semiHidden/>
    <w:unhideWhenUsed/>
    <w:rsid w:val="008D2631"/>
    <w:rPr>
      <w:vertAlign w:val="superscript"/>
    </w:rPr>
  </w:style>
  <w:style w:type="paragraph" w:styleId="EndnoteText">
    <w:name w:val="endnote text"/>
    <w:basedOn w:val="Normal"/>
    <w:link w:val="EndnoteTextChar"/>
    <w:uiPriority w:val="99"/>
    <w:semiHidden/>
    <w:unhideWhenUsed/>
    <w:rsid w:val="000B7F0A"/>
    <w:pPr>
      <w:spacing w:after="0"/>
    </w:pPr>
    <w:rPr>
      <w:sz w:val="20"/>
      <w:szCs w:val="20"/>
    </w:rPr>
  </w:style>
  <w:style w:type="character" w:customStyle="1" w:styleId="EndnoteTextChar">
    <w:name w:val="Endnote Text Char"/>
    <w:basedOn w:val="DefaultParagraphFont"/>
    <w:link w:val="EndnoteText"/>
    <w:uiPriority w:val="99"/>
    <w:semiHidden/>
    <w:rsid w:val="000B7F0A"/>
    <w:rPr>
      <w:rFonts w:ascii="Lato" w:hAnsi="Lato"/>
      <w:sz w:val="20"/>
      <w:szCs w:val="20"/>
    </w:rPr>
  </w:style>
  <w:style w:type="character" w:styleId="EndnoteReference">
    <w:name w:val="endnote reference"/>
    <w:basedOn w:val="DefaultParagraphFont"/>
    <w:uiPriority w:val="99"/>
    <w:semiHidden/>
    <w:unhideWhenUsed/>
    <w:rsid w:val="000B7F0A"/>
    <w:rPr>
      <w:vertAlign w:val="superscript"/>
    </w:rPr>
  </w:style>
  <w:style w:type="paragraph" w:styleId="BalloonText">
    <w:name w:val="Balloon Text"/>
    <w:basedOn w:val="Normal"/>
    <w:link w:val="BalloonTextChar"/>
    <w:uiPriority w:val="99"/>
    <w:semiHidden/>
    <w:unhideWhenUsed/>
    <w:rsid w:val="00F5363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3634"/>
    <w:rPr>
      <w:rFonts w:ascii="Segoe UI" w:hAnsi="Segoe UI" w:cs="Segoe UI"/>
      <w:sz w:val="18"/>
      <w:szCs w:val="18"/>
    </w:rPr>
  </w:style>
  <w:style w:type="character" w:styleId="CommentReference">
    <w:name w:val="annotation reference"/>
    <w:basedOn w:val="DefaultParagraphFont"/>
    <w:uiPriority w:val="99"/>
    <w:semiHidden/>
    <w:unhideWhenUsed/>
    <w:rsid w:val="00784105"/>
    <w:rPr>
      <w:sz w:val="16"/>
      <w:szCs w:val="16"/>
    </w:rPr>
  </w:style>
  <w:style w:type="paragraph" w:styleId="CommentText">
    <w:name w:val="annotation text"/>
    <w:basedOn w:val="Normal"/>
    <w:link w:val="CommentTextChar"/>
    <w:uiPriority w:val="99"/>
    <w:unhideWhenUsed/>
    <w:rsid w:val="00784105"/>
    <w:rPr>
      <w:sz w:val="20"/>
      <w:szCs w:val="20"/>
    </w:rPr>
  </w:style>
  <w:style w:type="character" w:customStyle="1" w:styleId="CommentTextChar">
    <w:name w:val="Comment Text Char"/>
    <w:basedOn w:val="DefaultParagraphFont"/>
    <w:link w:val="CommentText"/>
    <w:uiPriority w:val="99"/>
    <w:rsid w:val="00784105"/>
    <w:rPr>
      <w:rFonts w:ascii="Lato" w:hAnsi="Lato"/>
      <w:sz w:val="20"/>
      <w:szCs w:val="20"/>
    </w:rPr>
  </w:style>
  <w:style w:type="character" w:customStyle="1" w:styleId="ListParagraphChar">
    <w:name w:val="List Paragraph Char"/>
    <w:basedOn w:val="DefaultParagraphFont"/>
    <w:link w:val="ListParagraph"/>
    <w:uiPriority w:val="34"/>
    <w:rsid w:val="00784105"/>
    <w:rPr>
      <w:rFonts w:ascii="Lato" w:eastAsiaTheme="minorEastAsia" w:hAnsi="Lato"/>
      <w:iCs/>
    </w:rPr>
  </w:style>
  <w:style w:type="paragraph" w:styleId="CommentSubject">
    <w:name w:val="annotation subject"/>
    <w:basedOn w:val="CommentText"/>
    <w:next w:val="CommentText"/>
    <w:link w:val="CommentSubjectChar"/>
    <w:uiPriority w:val="99"/>
    <w:semiHidden/>
    <w:unhideWhenUsed/>
    <w:rsid w:val="00784105"/>
    <w:rPr>
      <w:b/>
      <w:bCs/>
    </w:rPr>
  </w:style>
  <w:style w:type="character" w:customStyle="1" w:styleId="CommentSubjectChar">
    <w:name w:val="Comment Subject Char"/>
    <w:basedOn w:val="CommentTextChar"/>
    <w:link w:val="CommentSubject"/>
    <w:uiPriority w:val="99"/>
    <w:semiHidden/>
    <w:rsid w:val="00784105"/>
    <w:rPr>
      <w:rFonts w:ascii="Lato" w:hAnsi="Lat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mailto:DTF.Water@nt.gov.au"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07\Downloads\ntg-long-image-templat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59367E128EA4DE8A9F32A67213926D2"/>
        <w:category>
          <w:name w:val="General"/>
          <w:gallery w:val="placeholder"/>
        </w:category>
        <w:types>
          <w:type w:val="bbPlcHdr"/>
        </w:types>
        <w:behaviors>
          <w:behavior w:val="content"/>
        </w:behaviors>
        <w:guid w:val="{E8F02740-8F91-43DE-9A2F-B18FA7F9BC1F}"/>
      </w:docPartPr>
      <w:docPartBody>
        <w:p w:rsidR="0059787F" w:rsidRDefault="0059787F">
          <w:pPr>
            <w:pStyle w:val="259367E128EA4DE8A9F32A67213926D2"/>
          </w:pPr>
          <w:r w:rsidRPr="000C7A65">
            <w:rPr>
              <w:rStyle w:val="PlaceholderText"/>
            </w:rPr>
            <w:t>[Title]</w:t>
          </w:r>
        </w:p>
      </w:docPartBody>
    </w:docPart>
    <w:docPart>
      <w:docPartPr>
        <w:name w:val="25BC57071FF3458D92CEC12E92D51A2F"/>
        <w:category>
          <w:name w:val="General"/>
          <w:gallery w:val="placeholder"/>
        </w:category>
        <w:types>
          <w:type w:val="bbPlcHdr"/>
        </w:types>
        <w:behaviors>
          <w:behavior w:val="content"/>
        </w:behaviors>
        <w:guid w:val="{93AF5F4F-283C-4AF3-9FCC-392FE86A5A24}"/>
      </w:docPartPr>
      <w:docPartBody>
        <w:p w:rsidR="00980475" w:rsidRDefault="00207E74" w:rsidP="00207E74">
          <w:pPr>
            <w:pStyle w:val="25BC57071FF3458D92CEC12E92D51A2F"/>
          </w:pPr>
          <w:r w:rsidRPr="005076E2">
            <w:t>&lt;Date Month Year&gt;</w:t>
          </w:r>
        </w:p>
      </w:docPartBody>
    </w:docPart>
    <w:docPart>
      <w:docPartPr>
        <w:name w:val="378901D301E74114871386C4064FC5C9"/>
        <w:category>
          <w:name w:val="General"/>
          <w:gallery w:val="placeholder"/>
        </w:category>
        <w:types>
          <w:type w:val="bbPlcHdr"/>
        </w:types>
        <w:behaviors>
          <w:behavior w:val="content"/>
        </w:behaviors>
        <w:guid w:val="{6C9A31F3-C1AD-4D5F-9B97-09EE85F009B0}"/>
      </w:docPartPr>
      <w:docPartBody>
        <w:p w:rsidR="00067A67" w:rsidRDefault="00792D36" w:rsidP="00792D36">
          <w:pPr>
            <w:pStyle w:val="378901D301E74114871386C4064FC5C9"/>
          </w:pPr>
          <w:r w:rsidRPr="005076E2">
            <w:t>&lt;Date Month Year&gt;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Lato Light">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87F"/>
    <w:rsid w:val="00067A67"/>
    <w:rsid w:val="00207E74"/>
    <w:rsid w:val="00216FE9"/>
    <w:rsid w:val="002D55B2"/>
    <w:rsid w:val="003E4E2B"/>
    <w:rsid w:val="00424E3A"/>
    <w:rsid w:val="00503878"/>
    <w:rsid w:val="0059787F"/>
    <w:rsid w:val="00792D36"/>
    <w:rsid w:val="00801A4F"/>
    <w:rsid w:val="008A2EF9"/>
    <w:rsid w:val="00980475"/>
    <w:rsid w:val="00CB08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59367E128EA4DE8A9F32A67213926D2">
    <w:name w:val="259367E128EA4DE8A9F32A67213926D2"/>
  </w:style>
  <w:style w:type="paragraph" w:customStyle="1" w:styleId="25BC57071FF3458D92CEC12E92D51A2F">
    <w:name w:val="25BC57071FF3458D92CEC12E92D51A2F"/>
    <w:rsid w:val="00207E74"/>
  </w:style>
  <w:style w:type="paragraph" w:customStyle="1" w:styleId="378901D301E74114871386C4064FC5C9">
    <w:name w:val="378901D301E74114871386C4064FC5C9"/>
    <w:rsid w:val="00792D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2024-09-17T00:00:00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EB0F5B-B68A-4D4F-9D9B-A7ABA978A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ntg-long-image-template (1).dotx</Template>
  <TotalTime>66</TotalTime>
  <Pages>6</Pages>
  <Words>1311</Words>
  <Characters>7478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Reform directions to improve economic regulation of water and sewerage services</vt:lpstr>
    </vt:vector>
  </TitlesOfParts>
  <Company>Treasury and Finance</Company>
  <LinksUpToDate>false</LinksUpToDate>
  <CharactersWithSpaces>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Reform directions to improve economic regulation of water and sewerage services</dc:title>
  <dc:creator>Northern Territory Government</dc:creator>
  <cp:lastModifiedBy>Marlene Woods</cp:lastModifiedBy>
  <cp:revision>11</cp:revision>
  <cp:lastPrinted>2024-09-17T00:27:00Z</cp:lastPrinted>
  <dcterms:created xsi:type="dcterms:W3CDTF">2024-03-14T01:56:00Z</dcterms:created>
  <dcterms:modified xsi:type="dcterms:W3CDTF">2024-09-17T04:11:00Z</dcterms:modified>
</cp:coreProperties>
</file>